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3734DD">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default" w:ascii="Times New Roman Regular" w:hAnsi="Times New Roman Regular" w:eastAsia="黑体" w:cs="Times New Roman Regular"/>
          <w:sz w:val="30"/>
          <w:szCs w:val="30"/>
          <w:lang w:val="en-US" w:eastAsia="zh-CN"/>
        </w:rPr>
      </w:pPr>
      <w:r>
        <w:rPr>
          <w:rFonts w:hint="default" w:ascii="Times New Roman Regular" w:hAnsi="Times New Roman Regular" w:eastAsia="黑体" w:cs="Times New Roman Regular"/>
          <w:sz w:val="30"/>
          <w:szCs w:val="30"/>
        </w:rPr>
        <w:t>附件</w:t>
      </w:r>
      <w:r>
        <w:rPr>
          <w:rFonts w:hint="default" w:ascii="Times New Roman Regular" w:hAnsi="Times New Roman Regular" w:eastAsia="黑体" w:cs="Times New Roman Regular"/>
          <w:sz w:val="30"/>
          <w:szCs w:val="30"/>
          <w:lang w:val="en-US" w:eastAsia="zh-CN"/>
        </w:rPr>
        <w:t>1.</w:t>
      </w:r>
    </w:p>
    <w:p w14:paraId="782F9D6D">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eastAsia" w:ascii="方正小标宋简体" w:hAnsi="方正小标宋简体" w:eastAsia="方正小标宋简体" w:cs="方正小标宋简体"/>
          <w:color w:val="000000" w:themeColor="text1"/>
          <w:sz w:val="32"/>
          <w:szCs w:val="32"/>
          <w:shd w:val="clear" w:color="auto" w:fill="FFFFFF"/>
          <w14:textFill>
            <w14:solidFill>
              <w14:schemeClr w14:val="tx1"/>
            </w14:solidFill>
          </w14:textFill>
        </w:rPr>
      </w:pPr>
      <w:bookmarkStart w:id="0" w:name="_GoBack"/>
      <w:r>
        <w:rPr>
          <w:rFonts w:hint="eastAsia" w:ascii="方正小标宋简体" w:hAnsi="方正小标宋简体" w:eastAsia="方正小标宋简体" w:cs="方正小标宋简体"/>
          <w:sz w:val="32"/>
          <w:szCs w:val="32"/>
          <w:lang w:val="en-US" w:eastAsia="zh-CN"/>
        </w:rPr>
        <w:t>2025中东家电电子展览会情况介绍</w:t>
      </w:r>
    </w:p>
    <w:bookmarkEnd w:id="0"/>
    <w:p w14:paraId="1A8FAD24">
      <w:pPr>
        <w:keepNext w:val="0"/>
        <w:keepLines w:val="0"/>
        <w:pageBreakBefore w:val="0"/>
        <w:widowControl w:val="0"/>
        <w:kinsoku/>
        <w:wordWrap/>
        <w:overflowPunct/>
        <w:topLinePunct w:val="0"/>
        <w:autoSpaceDE/>
        <w:autoSpaceDN/>
        <w:bidi w:val="0"/>
        <w:adjustRightInd/>
        <w:snapToGrid/>
        <w:spacing w:line="560" w:lineRule="exact"/>
        <w:ind w:left="0" w:leftChars="0" w:right="0" w:firstLine="600" w:firstLineChars="200"/>
        <w:textAlignment w:val="auto"/>
        <w:rPr>
          <w:rFonts w:hint="eastAsia" w:ascii="宋体" w:hAnsi="宋体" w:eastAsia="宋体" w:cs="宋体"/>
          <w:sz w:val="30"/>
          <w:szCs w:val="30"/>
          <w:lang w:val="en-US" w:eastAsia="zh-CN"/>
        </w:rPr>
      </w:pPr>
    </w:p>
    <w:p w14:paraId="366E99C9">
      <w:pPr>
        <w:keepNext w:val="0"/>
        <w:keepLines w:val="0"/>
        <w:pageBreakBefore w:val="0"/>
        <w:widowControl w:val="0"/>
        <w:kinsoku/>
        <w:wordWrap/>
        <w:overflowPunct/>
        <w:topLinePunct w:val="0"/>
        <w:autoSpaceDE/>
        <w:autoSpaceDN/>
        <w:bidi w:val="0"/>
        <w:adjustRightInd/>
        <w:snapToGrid/>
        <w:spacing w:line="560" w:lineRule="exact"/>
        <w:ind w:left="0" w:leftChars="0" w:righ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中东地区的地理位置具有非常重要的战略地位和经济价值。地处五海三洲之地，自古以来就是东西方交通枢纽，联系欧、亚、非三大洲。中东地区涵盖20余个国家和地区，人口总数约为4.5亿，人口增长率排名世界第四，该地区的人口平均年龄为25岁，一半以上都是年轻人。此年龄结构为中东市场带来了巨大的消费潜力，对家用电器、消费电子等消费科技类产品需求日益增长。</w:t>
      </w:r>
    </w:p>
    <w:p w14:paraId="4C9EEB4C">
      <w:pPr>
        <w:keepNext w:val="0"/>
        <w:keepLines w:val="0"/>
        <w:pageBreakBefore w:val="0"/>
        <w:widowControl w:val="0"/>
        <w:kinsoku/>
        <w:wordWrap/>
        <w:overflowPunct/>
        <w:topLinePunct w:val="0"/>
        <w:autoSpaceDE/>
        <w:autoSpaceDN/>
        <w:bidi w:val="0"/>
        <w:adjustRightInd/>
        <w:snapToGrid/>
        <w:spacing w:line="560" w:lineRule="exact"/>
        <w:ind w:left="0" w:leftChars="0" w:righ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阿联酋连续多年是我国在中东地区第一大出口市场和第二大贸易伙伴。2024年1-10月中国与阿联酋双边货物进出口额为824.32亿美元，同比增长6.3%，其中我国出口商品总值为523.91亿美元，相比上年同期增长了71.32亿美元，同比增长16.1%；2024年1-11月，我国对中东地区出口家电及视听产品共计136.7亿美元，其中家电产品出口额为122.2亿美元，同比增长16.4%，视听产品14.5亿美元，同比增长3%。</w:t>
      </w:r>
    </w:p>
    <w:p w14:paraId="3FFE481F">
      <w:pPr>
        <w:keepNext w:val="0"/>
        <w:keepLines w:val="0"/>
        <w:pageBreakBefore w:val="0"/>
        <w:kinsoku/>
        <w:wordWrap/>
        <w:overflowPunct/>
        <w:topLinePunct w:val="0"/>
        <w:autoSpaceDE/>
        <w:autoSpaceDN/>
        <w:bidi w:val="0"/>
        <w:adjustRightInd/>
        <w:snapToGrid/>
        <w:spacing w:line="560" w:lineRule="exact"/>
        <w:ind w:left="0" w:leftChars="0" w:right="0" w:firstLine="562" w:firstLineChars="200"/>
        <w:jc w:val="left"/>
        <w:textAlignment w:val="auto"/>
        <w:rPr>
          <w:rFonts w:hint="eastAsia" w:ascii="宋体" w:hAnsi="宋体" w:eastAsia="宋体" w:cs="宋体"/>
          <w:b/>
          <w:bCs/>
          <w:sz w:val="28"/>
          <w:szCs w:val="28"/>
        </w:rPr>
      </w:pPr>
    </w:p>
    <w:p w14:paraId="2F0D9686">
      <w:pPr>
        <w:keepNext w:val="0"/>
        <w:keepLines w:val="0"/>
        <w:pageBreakBefore w:val="0"/>
        <w:kinsoku/>
        <w:wordWrap/>
        <w:overflowPunct/>
        <w:topLinePunct w:val="0"/>
        <w:autoSpaceDE/>
        <w:autoSpaceDN/>
        <w:bidi w:val="0"/>
        <w:adjustRightInd/>
        <w:snapToGrid/>
        <w:spacing w:line="560" w:lineRule="exact"/>
        <w:ind w:left="0" w:leftChars="0" w:right="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sz w:val="28"/>
          <w:szCs w:val="28"/>
        </w:rPr>
        <w:t>一、组织机构</w:t>
      </w:r>
    </w:p>
    <w:p w14:paraId="1A727903">
      <w:pPr>
        <w:keepNext w:val="0"/>
        <w:keepLines w:val="0"/>
        <w:pageBreakBefore w:val="0"/>
        <w:widowControl/>
        <w:kinsoku/>
        <w:wordWrap/>
        <w:overflowPunct/>
        <w:topLinePunct w:val="0"/>
        <w:autoSpaceDE/>
        <w:autoSpaceDN/>
        <w:bidi w:val="0"/>
        <w:adjustRightInd/>
        <w:snapToGrid/>
        <w:spacing w:line="560" w:lineRule="exact"/>
        <w:ind w:left="0" w:leftChars="0" w:right="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主办单位：中国国际贸易促进委员会商业行业委员会</w:t>
      </w:r>
    </w:p>
    <w:p w14:paraId="6C1F6FA6">
      <w:pPr>
        <w:keepNext w:val="0"/>
        <w:keepLines w:val="0"/>
        <w:pageBreakBefore w:val="0"/>
        <w:widowControl/>
        <w:kinsoku/>
        <w:wordWrap/>
        <w:overflowPunct/>
        <w:topLinePunct w:val="0"/>
        <w:autoSpaceDE/>
        <w:autoSpaceDN/>
        <w:bidi w:val="0"/>
        <w:adjustRightInd/>
        <w:snapToGrid/>
        <w:spacing w:line="560" w:lineRule="exact"/>
        <w:ind w:left="0" w:leftChars="0" w:right="0" w:firstLine="1960" w:firstLineChars="700"/>
        <w:jc w:val="left"/>
        <w:textAlignment w:val="auto"/>
        <w:rPr>
          <w:rFonts w:hint="eastAsia" w:ascii="宋体" w:hAnsi="宋体" w:eastAsia="宋体" w:cs="宋体"/>
          <w:sz w:val="28"/>
          <w:szCs w:val="28"/>
        </w:rPr>
      </w:pPr>
      <w:r>
        <w:rPr>
          <w:rFonts w:hint="eastAsia" w:ascii="宋体" w:hAnsi="宋体" w:eastAsia="宋体" w:cs="宋体"/>
          <w:sz w:val="28"/>
          <w:szCs w:val="28"/>
        </w:rPr>
        <w:t>中国机电产品进出口商会</w:t>
      </w:r>
    </w:p>
    <w:p w14:paraId="2F0D0862">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sz w:val="28"/>
          <w:szCs w:val="28"/>
        </w:rPr>
        <w:t>二、基本情况</w:t>
      </w:r>
    </w:p>
    <w:p w14:paraId="22075725">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展会名称：</w:t>
      </w:r>
      <w:r>
        <w:rPr>
          <w:rFonts w:hint="eastAsia" w:ascii="宋体" w:hAnsi="宋体" w:eastAsia="宋体" w:cs="宋体"/>
          <w:sz w:val="28"/>
          <w:szCs w:val="28"/>
          <w:lang w:val="en-US" w:eastAsia="zh-CN"/>
        </w:rPr>
        <w:t>2025</w:t>
      </w:r>
      <w:r>
        <w:rPr>
          <w:rFonts w:hint="eastAsia" w:ascii="宋体" w:hAnsi="宋体" w:eastAsia="宋体" w:cs="宋体"/>
          <w:sz w:val="28"/>
          <w:szCs w:val="28"/>
        </w:rPr>
        <w:t>中东家电电子展览会</w:t>
      </w:r>
    </w:p>
    <w:p w14:paraId="6CB3E102">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英文名称：MIDDLE EAST CONSUMER ELECTRONICS SHOW（MECES）</w:t>
      </w:r>
    </w:p>
    <w:p w14:paraId="3230DBFA">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举办时间：</w:t>
      </w:r>
      <w:r>
        <w:rPr>
          <w:rFonts w:hint="eastAsia" w:ascii="宋体" w:hAnsi="宋体" w:eastAsia="宋体" w:cs="宋体"/>
          <w:sz w:val="28"/>
          <w:szCs w:val="28"/>
          <w:lang w:val="en-US" w:eastAsia="zh-CN"/>
        </w:rPr>
        <w:t>2025年11月26日-28日</w:t>
      </w:r>
    </w:p>
    <w:p w14:paraId="1773C3A4">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举办地点：迪拜节日城展览中心（Dubai Festival Arena）</w:t>
      </w:r>
    </w:p>
    <w:p w14:paraId="4F25186F">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展会面积：8,000平方米</w:t>
      </w:r>
    </w:p>
    <w:p w14:paraId="44FA7611">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三、</w:t>
      </w:r>
      <w:r>
        <w:rPr>
          <w:rFonts w:hint="eastAsia" w:ascii="宋体" w:hAnsi="宋体" w:eastAsia="宋体" w:cs="宋体"/>
          <w:b/>
          <w:bCs/>
          <w:sz w:val="28"/>
          <w:szCs w:val="28"/>
          <w:lang w:eastAsia="zh-Hans"/>
        </w:rPr>
        <w:t>展商及展品</w:t>
      </w:r>
      <w:r>
        <w:rPr>
          <w:rFonts w:hint="eastAsia" w:ascii="宋体" w:hAnsi="宋体" w:eastAsia="宋体" w:cs="宋体"/>
          <w:b/>
          <w:bCs/>
          <w:sz w:val="28"/>
          <w:szCs w:val="28"/>
        </w:rPr>
        <w:t>类别</w:t>
      </w:r>
    </w:p>
    <w:p w14:paraId="32FF30C4">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jc w:val="both"/>
        <w:textAlignment w:val="auto"/>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1.智能家电展区：空调、冰箱、洗衣机、空气净化器等智能家电产品；</w:t>
      </w:r>
    </w:p>
    <w:p w14:paraId="743E520C">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jc w:val="both"/>
        <w:textAlignment w:val="auto"/>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2.厨电及餐厨用品展区：咖啡机、电烤箱、电磁炉、微波炉、豆浆机、电饭煲等各类厨房电器及杯、壶、锅等各类餐厨用品；</w:t>
      </w:r>
    </w:p>
    <w:p w14:paraId="04282403">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jc w:val="both"/>
        <w:textAlignment w:val="auto"/>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3.个护小家电展区：电吹风、电动剃须刀、电熨斗、挂烫机、电动牙刷等；</w:t>
      </w:r>
    </w:p>
    <w:p w14:paraId="6B3D1584">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jc w:val="both"/>
        <w:textAlignment w:val="auto"/>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4.视听设备展区：视频解决方案、显示设备、音箱、车载媒体、耳机、麦克风等；</w:t>
      </w:r>
    </w:p>
    <w:p w14:paraId="177F16B1">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jc w:val="both"/>
        <w:textAlignment w:val="auto"/>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5.通讯及互联设备展区：手机、电脑、互联网设备、移动支付设备等；</w:t>
      </w:r>
    </w:p>
    <w:p w14:paraId="155715C0">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jc w:val="both"/>
        <w:textAlignment w:val="auto"/>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6.跨境电商展区：跨境电商平台、信息咨询、物流仓储、海外仓、运营管理系统、支付平台、数字营销、保险财税、金融投资、人才培养、跨境机构、工业设计等。</w:t>
      </w:r>
    </w:p>
    <w:p w14:paraId="4722767B">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四、展位价格</w:t>
      </w:r>
    </w:p>
    <w:p w14:paraId="5D045429">
      <w:pPr>
        <w:keepNext w:val="0"/>
        <w:keepLines w:val="0"/>
        <w:pageBreakBefore w:val="0"/>
        <w:widowControl/>
        <w:kinsoku/>
        <w:wordWrap/>
        <w:overflowPunct/>
        <w:topLinePunct w:val="0"/>
        <w:autoSpaceDE/>
        <w:autoSpaceDN/>
        <w:bidi w:val="0"/>
        <w:adjustRightInd/>
        <w:snapToGrid/>
        <w:spacing w:line="560" w:lineRule="exact"/>
        <w:ind w:left="0" w:leftChars="0" w:right="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1.标准展位：RMB 42,800/9平方米</w:t>
      </w:r>
    </w:p>
    <w:p w14:paraId="5EACF51F">
      <w:pPr>
        <w:keepNext w:val="0"/>
        <w:keepLines w:val="0"/>
        <w:pageBreakBefore w:val="0"/>
        <w:widowControl/>
        <w:kinsoku/>
        <w:wordWrap/>
        <w:overflowPunct/>
        <w:topLinePunct w:val="0"/>
        <w:autoSpaceDE/>
        <w:autoSpaceDN/>
        <w:bidi w:val="0"/>
        <w:adjustRightInd/>
        <w:snapToGrid/>
        <w:spacing w:line="560" w:lineRule="exact"/>
        <w:ind w:left="0" w:leftChars="0" w:right="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2.光地展位：RMB 4,280/平方米（36平方米起订）</w:t>
      </w:r>
    </w:p>
    <w:p w14:paraId="4E6709BD">
      <w:pPr>
        <w:keepNext w:val="0"/>
        <w:keepLines w:val="0"/>
        <w:pageBreakBefore w:val="0"/>
        <w:widowControl/>
        <w:kinsoku/>
        <w:wordWrap/>
        <w:overflowPunct/>
        <w:topLinePunct w:val="0"/>
        <w:autoSpaceDE/>
        <w:autoSpaceDN/>
        <w:bidi w:val="0"/>
        <w:adjustRightInd/>
        <w:snapToGrid/>
        <w:spacing w:line="560" w:lineRule="exact"/>
        <w:ind w:left="280" w:leftChars="0" w:right="0" w:hanging="280" w:hangingChars="1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3.会刊费用：2500/司</w:t>
      </w:r>
    </w:p>
    <w:p w14:paraId="3CA7C8AE">
      <w:pPr>
        <w:keepNext w:val="0"/>
        <w:keepLines w:val="0"/>
        <w:pageBreakBefore w:val="0"/>
        <w:widowControl/>
        <w:kinsoku/>
        <w:wordWrap/>
        <w:overflowPunct/>
        <w:topLinePunct w:val="0"/>
        <w:autoSpaceDE/>
        <w:autoSpaceDN/>
        <w:bidi w:val="0"/>
        <w:adjustRightInd/>
        <w:snapToGrid/>
        <w:spacing w:line="560" w:lineRule="exact"/>
        <w:ind w:left="280" w:leftChars="0" w:right="0" w:hanging="280" w:hangingChars="1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4.报名费用：1000/司</w:t>
      </w:r>
    </w:p>
    <w:p w14:paraId="1A04FD6F">
      <w:pPr>
        <w:keepNext w:val="0"/>
        <w:keepLines w:val="0"/>
        <w:pageBreakBefore w:val="0"/>
        <w:kinsoku/>
        <w:wordWrap/>
        <w:overflowPunct/>
        <w:topLinePunct w:val="0"/>
        <w:autoSpaceDE/>
        <w:autoSpaceDN/>
        <w:bidi w:val="0"/>
        <w:adjustRightInd/>
        <w:snapToGrid/>
        <w:spacing w:line="560" w:lineRule="exact"/>
        <w:ind w:left="0" w:leftChars="0" w:right="0"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w:t>
      </w:r>
      <w:r>
        <w:rPr>
          <w:rFonts w:hint="eastAsia" w:ascii="宋体" w:hAnsi="宋体" w:eastAsia="宋体" w:cs="宋体"/>
          <w:b/>
          <w:bCs/>
          <w:sz w:val="28"/>
          <w:szCs w:val="28"/>
          <w:lang w:val="en-US" w:eastAsia="zh-CN"/>
        </w:rPr>
        <w:t>报名</w:t>
      </w:r>
      <w:r>
        <w:rPr>
          <w:rFonts w:hint="eastAsia" w:ascii="宋体" w:hAnsi="宋体" w:eastAsia="宋体" w:cs="宋体"/>
          <w:b/>
          <w:bCs/>
          <w:sz w:val="28"/>
          <w:szCs w:val="28"/>
        </w:rPr>
        <w:t>方式</w:t>
      </w:r>
    </w:p>
    <w:p w14:paraId="4E044A40">
      <w:pPr>
        <w:keepNext w:val="0"/>
        <w:keepLines w:val="0"/>
        <w:pageBreakBefore w:val="0"/>
        <w:kinsoku/>
        <w:wordWrap/>
        <w:overflowPunct/>
        <w:topLinePunct w:val="0"/>
        <w:autoSpaceDE/>
        <w:autoSpaceDN/>
        <w:bidi w:val="0"/>
        <w:adjustRightInd/>
        <w:snapToGrid/>
        <w:spacing w:line="560" w:lineRule="exact"/>
        <w:ind w:left="0" w:leftChars="0" w:righ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请将附件</w:t>
      </w:r>
      <w:r>
        <w:rPr>
          <w:rFonts w:hint="eastAsia" w:ascii="宋体" w:hAnsi="宋体" w:eastAsia="宋体" w:cs="宋体"/>
          <w:sz w:val="28"/>
          <w:szCs w:val="28"/>
          <w:lang w:val="en-US" w:eastAsia="zh-CN"/>
        </w:rPr>
        <w:t>2.</w:t>
      </w:r>
      <w:r>
        <w:rPr>
          <w:rFonts w:hint="eastAsia" w:ascii="宋体" w:hAnsi="宋体" w:eastAsia="宋体" w:cs="宋体"/>
          <w:sz w:val="28"/>
          <w:szCs w:val="28"/>
        </w:rPr>
        <w:t>《2025中东家电电子展览会</w:t>
      </w:r>
      <w:r>
        <w:rPr>
          <w:rFonts w:hint="eastAsia" w:ascii="宋体" w:hAnsi="宋体" w:eastAsia="宋体" w:cs="宋体"/>
          <w:sz w:val="28"/>
          <w:szCs w:val="28"/>
          <w:lang w:val="en-US" w:eastAsia="zh-CN"/>
        </w:rPr>
        <w:t>参展</w:t>
      </w:r>
      <w:r>
        <w:rPr>
          <w:rFonts w:hint="eastAsia" w:ascii="宋体" w:hAnsi="宋体" w:eastAsia="宋体" w:cs="宋体"/>
          <w:sz w:val="28"/>
          <w:szCs w:val="28"/>
        </w:rPr>
        <w:t>申请表（合同书）》及贵单位营业执照复印件（加盖公章）发送至指定邮箱进行报名。</w:t>
      </w:r>
    </w:p>
    <w:p w14:paraId="18B6198B">
      <w:pPr>
        <w:keepNext w:val="0"/>
        <w:keepLines w:val="0"/>
        <w:pageBreakBefore w:val="0"/>
        <w:widowControl w:val="0"/>
        <w:kinsoku/>
        <w:wordWrap w:val="0"/>
        <w:overflowPunct/>
        <w:topLinePunct w:val="0"/>
        <w:autoSpaceDE/>
        <w:autoSpaceDN/>
        <w:bidi w:val="0"/>
        <w:snapToGrid/>
        <w:spacing w:line="440" w:lineRule="exact"/>
        <w:ind w:right="-58"/>
        <w:jc w:val="both"/>
        <w:rPr>
          <w:rFonts w:hint="default" w:ascii="宋体" w:hAnsi="宋体" w:eastAsia="宋体" w:cs="宋体"/>
          <w:sz w:val="28"/>
          <w:szCs w:val="28"/>
          <w:lang w:val="en-US" w:eastAsia="zh-CN"/>
        </w:rPr>
      </w:pPr>
    </w:p>
    <w:sectPr>
      <w:footerReference r:id="rId3" w:type="default"/>
      <w:pgSz w:w="11906" w:h="16838"/>
      <w:pgMar w:top="1440" w:right="1800" w:bottom="1440" w:left="1800" w:header="851" w:footer="992" w:gutter="0"/>
      <w:pgNumType w:fmt="decimal"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Times New Roman Regular">
    <w:altName w:val="Times New Roman"/>
    <w:panose1 w:val="02020503050405090304"/>
    <w:charset w:val="00"/>
    <w:family w:val="auto"/>
    <w:pitch w:val="default"/>
    <w:sig w:usb0="00000000" w:usb1="00000000" w:usb2="00000001" w:usb3="00000000" w:csb0="400001BF" w:csb1="DFF70000"/>
  </w:font>
  <w:font w:name="方正小标宋简体">
    <w:altName w:val="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78EF1">
    <w:pPr>
      <w:pStyle w:val="17"/>
      <w:tabs>
        <w:tab w:val="clear" w:pos="4153"/>
        <w:tab w:val="clear" w:pos="8306"/>
      </w:tabs>
      <w:rPr>
        <w:sz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1E89C6">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D1E89C6">
                    <w:pPr>
                      <w:pStyle w:val="2"/>
                    </w:pP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1031"/>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695023B6">
                          <w:pPr>
                            <w:pStyle w:val="17"/>
                            <w:tabs>
                              <w:tab w:val="clear" w:pos="4153"/>
                              <w:tab w:val="clear" w:pos="8306"/>
                            </w:tabs>
                            <w:rPr>
                              <w:rFonts w:hint="eastAsia"/>
                              <w:sz w:val="28"/>
                              <w:szCs w:val="44"/>
                            </w:rPr>
                          </w:pPr>
                        </w:p>
                        <w:p w14:paraId="4BA539D8"/>
                      </w:txbxContent>
                    </wps:txbx>
                    <wps:bodyPr rot="0" vert="horz" wrap="square" lIns="91440" tIns="45720" rIns="91440" bIns="45720" anchor="t" anchorCtr="0"/>
                  </wps:wsp>
                </a:graphicData>
              </a:graphic>
            </wp:anchor>
          </w:drawing>
        </mc:Choice>
        <mc:Fallback>
          <w:pict>
            <v:rect id="_x0000_s1031"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6Exz27AQAAhgMAAA4AAABkcnMvZTJvRG9jLnhtbK1TTY/TMBC9&#10;I/EfLN9pkm6BEtXdAxUICcFKu5xXrmM3keIPZtwm5dczdrLdarnsgRycmcz4+b03zuZ2tD07acDO&#10;O8GrRcmZdso3nTsI/uvhy7s1Zxila2TvnRb8rJHfbt++2Qyh1kvf+r7RwAjEYT0EwdsYQ10UqFpt&#10;JS580I6KxoOVkVI4FA3IgdBtXyzL8kMxeGgCeKUR6etuKvIZEV4D6I3plN55dbTaxQkVdC8jScK2&#10;C8i3ma0xWsWfxqCOrBeclMa80iEU79NabDeyPoAMbadmCvI1FF5osrJzdOgFaiejZEfo/oGynQKP&#10;3sSF8raYhGRHSEVVvvDmvpVBZy1kNYaL6fj/YNWP0x2wrhH8hjMnLQ38cSzpecSqvKmSP0PAmtru&#10;wx3MGVKYxI4GbHqTDDZmT88XT/UYmaKP1Xq5Xpdkt6LaU0I4xfP2ABi/am9ZCgQHGlr2Up6+Y5xa&#10;n1poX6IzEUhRHPfjzGrvmzNpAT8Nma44Ba2HP5wNNGDB8fdRguas/+bIwU/VapVuRE5W7z8uKYHr&#10;yv66Ip0iKMEjZ1P4OeZblOglHjSerGm+Smn+13nuev59t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E6Exz27AQAAhgMAAA4AAAAAAAAAAQAgAAAAIgEAAGRycy9lMm9Eb2MueG1sUEsFBgAA&#10;AAAGAAYAWQEAAE8FAAAAAA==&#10;">
              <v:fill on="f" focussize="0,0"/>
              <v:stroke on="f"/>
              <v:imagedata o:title=""/>
              <o:lock v:ext="edit" aspectratio="f"/>
              <v:textbox>
                <w:txbxContent>
                  <w:p w14:paraId="695023B6">
                    <w:pPr>
                      <w:pStyle w:val="17"/>
                      <w:tabs>
                        <w:tab w:val="clear" w:pos="4153"/>
                        <w:tab w:val="clear" w:pos="8306"/>
                      </w:tabs>
                      <w:rPr>
                        <w:rFonts w:hint="eastAsia"/>
                        <w:sz w:val="28"/>
                        <w:szCs w:val="44"/>
                      </w:rPr>
                    </w:pPr>
                  </w:p>
                  <w:p w14:paraId="4BA539D8"/>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compressPunctuation"/>
  <w:hdrShapeDefaults>
    <o:shapelayout v:ext="edit">
      <o:idmap v:ext="edit" data="2"/>
    </o:shapelayout>
  </w:hdrShapeDefaults>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kZGQwOGQyYjNjNzhjY2E1YmFiNjVjODQxNzZiNTIifQ=="/>
  </w:docVars>
  <w:rsids>
    <w:rsidRoot w:val="00000000"/>
    <w:rsid w:val="0F7B7CAC"/>
    <w:rsid w:val="1F7FDFC1"/>
    <w:rsid w:val="3E3D3F7A"/>
    <w:rsid w:val="3E605C2A"/>
    <w:rsid w:val="3FFF34EB"/>
    <w:rsid w:val="40FA6329"/>
    <w:rsid w:val="57D7A78C"/>
    <w:rsid w:val="59212A20"/>
    <w:rsid w:val="5F1F1219"/>
    <w:rsid w:val="7EFD7EA4"/>
    <w:rsid w:val="9CF7BC84"/>
    <w:rsid w:val="BB6A9108"/>
    <w:rsid w:val="BF2D44C8"/>
    <w:rsid w:val="FA7F83B1"/>
    <w:rsid w:val="FDDF76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7"/>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标题 21"/>
    <w:basedOn w:val="1"/>
    <w:qFormat/>
    <w:uiPriority w:val="0"/>
    <w:pPr>
      <w:keepNext/>
      <w:keepLines/>
      <w:outlineLvl w:val="1"/>
    </w:pPr>
    <w:rPr>
      <w:rFonts w:ascii="Arial" w:hAnsi="Arial" w:eastAsia="楷体"/>
      <w:sz w:val="32"/>
      <w:szCs w:val="22"/>
    </w:rPr>
  </w:style>
  <w:style w:type="paragraph" w:customStyle="1" w:styleId="7">
    <w:name w:val="标题 31"/>
    <w:basedOn w:val="1"/>
    <w:link w:val="10"/>
    <w:qFormat/>
    <w:uiPriority w:val="0"/>
    <w:pPr>
      <w:keepNext/>
      <w:keepLines/>
      <w:jc w:val="left"/>
      <w:outlineLvl w:val="2"/>
    </w:pPr>
    <w:rPr>
      <w:rFonts w:eastAsia="黑体"/>
      <w:sz w:val="32"/>
      <w:szCs w:val="22"/>
    </w:rPr>
  </w:style>
  <w:style w:type="character" w:customStyle="1" w:styleId="8">
    <w:name w:val="默认段落字体1"/>
    <w:link w:val="1"/>
    <w:qFormat/>
    <w:uiPriority w:val="0"/>
  </w:style>
  <w:style w:type="table" w:customStyle="1" w:styleId="9">
    <w:name w:val="普通表格1"/>
    <w:qFormat/>
    <w:uiPriority w:val="0"/>
  </w:style>
  <w:style w:type="character" w:customStyle="1" w:styleId="10">
    <w:name w:val="标题 3 字符"/>
    <w:link w:val="7"/>
    <w:qFormat/>
    <w:uiPriority w:val="0"/>
    <w:rPr>
      <w:rFonts w:ascii="Calibri" w:hAnsi="Calibri" w:eastAsia="黑体"/>
      <w:kern w:val="2"/>
      <w:sz w:val="32"/>
      <w:szCs w:val="22"/>
    </w:rPr>
  </w:style>
  <w:style w:type="paragraph" w:customStyle="1" w:styleId="11">
    <w:name w:val="题注1"/>
    <w:basedOn w:val="1"/>
    <w:qFormat/>
    <w:uiPriority w:val="0"/>
    <w:rPr>
      <w:rFonts w:ascii="Arial" w:hAnsi="Arial" w:eastAsia="黑体"/>
      <w:sz w:val="20"/>
    </w:rPr>
  </w:style>
  <w:style w:type="paragraph" w:customStyle="1" w:styleId="12">
    <w:name w:val="正文文本缩进1"/>
    <w:basedOn w:val="1"/>
    <w:qFormat/>
    <w:uiPriority w:val="0"/>
    <w:pPr>
      <w:spacing w:after="120"/>
      <w:ind w:left="420" w:leftChars="200"/>
    </w:pPr>
  </w:style>
  <w:style w:type="paragraph" w:customStyle="1" w:styleId="13">
    <w:name w:val="纯文本1"/>
    <w:basedOn w:val="1"/>
    <w:qFormat/>
    <w:uiPriority w:val="0"/>
    <w:rPr>
      <w:rFonts w:ascii="宋体" w:hAnsi="Courier New"/>
      <w:szCs w:val="21"/>
    </w:rPr>
  </w:style>
  <w:style w:type="paragraph" w:customStyle="1" w:styleId="14">
    <w:name w:val="日期1"/>
    <w:basedOn w:val="1"/>
    <w:link w:val="15"/>
    <w:qFormat/>
    <w:uiPriority w:val="0"/>
    <w:pPr>
      <w:ind w:left="100" w:leftChars="2500"/>
    </w:pPr>
  </w:style>
  <w:style w:type="character" w:customStyle="1" w:styleId="15">
    <w:name w:val="日期 字符"/>
    <w:link w:val="14"/>
    <w:qFormat/>
    <w:uiPriority w:val="0"/>
    <w:rPr>
      <w:rFonts w:ascii="Calibri" w:hAnsi="Calibri"/>
      <w:kern w:val="2"/>
      <w:sz w:val="21"/>
      <w:szCs w:val="24"/>
    </w:rPr>
  </w:style>
  <w:style w:type="paragraph" w:customStyle="1" w:styleId="16">
    <w:name w:val="批注框文本1"/>
    <w:qFormat/>
    <w:uiPriority w:val="0"/>
    <w:pPr>
      <w:widowControl w:val="0"/>
      <w:jc w:val="both"/>
    </w:pPr>
    <w:rPr>
      <w:rFonts w:ascii="Times New Roman" w:hAnsi="Times New Roman" w:eastAsia="宋体" w:cs="Times New Roman"/>
      <w:kern w:val="2"/>
      <w:sz w:val="18"/>
      <w:szCs w:val="24"/>
      <w:lang w:val="en-US" w:eastAsia="zh-CN" w:bidi="ar-SA"/>
    </w:rPr>
  </w:style>
  <w:style w:type="paragraph" w:customStyle="1" w:styleId="17">
    <w:name w:val="页脚1"/>
    <w:basedOn w:val="1"/>
    <w:qFormat/>
    <w:uiPriority w:val="0"/>
    <w:pPr>
      <w:tabs>
        <w:tab w:val="center" w:pos="4153"/>
        <w:tab w:val="right" w:pos="8306"/>
      </w:tabs>
      <w:snapToGrid w:val="0"/>
      <w:jc w:val="left"/>
    </w:pPr>
    <w:rPr>
      <w:sz w:val="18"/>
    </w:rPr>
  </w:style>
  <w:style w:type="paragraph" w:customStyle="1" w:styleId="18">
    <w:name w:val="页眉1"/>
    <w:basedOn w:val="1"/>
    <w:link w:val="19"/>
    <w:qFormat/>
    <w:uiPriority w:val="0"/>
    <w:pPr>
      <w:pBdr>
        <w:bottom w:val="single" w:color="auto" w:sz="6" w:space="1"/>
      </w:pBdr>
      <w:tabs>
        <w:tab w:val="center" w:pos="4153"/>
        <w:tab w:val="right" w:pos="8306"/>
      </w:tabs>
      <w:snapToGrid w:val="0"/>
      <w:jc w:val="center"/>
    </w:pPr>
    <w:rPr>
      <w:sz w:val="18"/>
      <w:szCs w:val="18"/>
    </w:rPr>
  </w:style>
  <w:style w:type="character" w:customStyle="1" w:styleId="19">
    <w:name w:val="页眉 字符"/>
    <w:link w:val="18"/>
    <w:qFormat/>
    <w:uiPriority w:val="0"/>
    <w:rPr>
      <w:rFonts w:ascii="Calibri" w:hAnsi="Calibri" w:eastAsia="宋体"/>
      <w:kern w:val="2"/>
      <w:sz w:val="18"/>
      <w:szCs w:val="18"/>
    </w:rPr>
  </w:style>
  <w:style w:type="paragraph" w:customStyle="1" w:styleId="20">
    <w:name w:val="脚注文本1"/>
    <w:basedOn w:val="1"/>
    <w:qFormat/>
    <w:uiPriority w:val="0"/>
    <w:pPr>
      <w:widowControl w:val="0"/>
      <w:snapToGrid w:val="0"/>
      <w:spacing w:after="0"/>
      <w:jc w:val="left"/>
    </w:pPr>
    <w:rPr>
      <w:rFonts w:ascii="Calibri" w:hAnsi="Calibri" w:eastAsia="宋体"/>
      <w:kern w:val="0"/>
      <w:sz w:val="18"/>
      <w:szCs w:val="18"/>
      <w:lang w:val="en-US" w:eastAsia="zh-CN" w:bidi="ar-SA"/>
    </w:rPr>
  </w:style>
  <w:style w:type="paragraph" w:customStyle="1" w:styleId="21">
    <w:name w:val="普通(网站)1"/>
    <w:basedOn w:val="1"/>
    <w:qFormat/>
    <w:uiPriority w:val="0"/>
    <w:pPr>
      <w:spacing w:before="100" w:beforeAutospacing="1" w:after="100" w:afterAutospacing="1"/>
      <w:ind w:left="0" w:right="0"/>
      <w:jc w:val="left"/>
    </w:pPr>
    <w:rPr>
      <w:kern w:val="0"/>
      <w:sz w:val="24"/>
      <w:lang w:val="en-US" w:eastAsia="zh-CN" w:bidi="ar"/>
    </w:rPr>
  </w:style>
  <w:style w:type="paragraph" w:customStyle="1" w:styleId="22">
    <w:name w:val="正文首行缩进 21"/>
    <w:basedOn w:val="12"/>
    <w:qFormat/>
    <w:uiPriority w:val="0"/>
    <w:pPr>
      <w:ind w:firstLine="420" w:firstLineChars="200"/>
    </w:pPr>
  </w:style>
  <w:style w:type="table" w:customStyle="1" w:styleId="23">
    <w:name w:val="网格型1"/>
    <w:basedOn w:val="9"/>
    <w:qFormat/>
    <w:uiPriority w:val="0"/>
    <w:pPr>
      <w:widowControl w:val="0"/>
      <w:jc w:val="both"/>
    </w:pPr>
  </w:style>
  <w:style w:type="character" w:customStyle="1" w:styleId="24">
    <w:name w:val="要点1"/>
    <w:basedOn w:val="8"/>
    <w:link w:val="1"/>
    <w:qFormat/>
    <w:uiPriority w:val="0"/>
    <w:rPr>
      <w:b/>
    </w:rPr>
  </w:style>
  <w:style w:type="character" w:customStyle="1" w:styleId="25">
    <w:name w:val="强调1"/>
    <w:basedOn w:val="8"/>
    <w:link w:val="1"/>
    <w:qFormat/>
    <w:uiPriority w:val="0"/>
    <w:rPr>
      <w:i/>
    </w:rPr>
  </w:style>
  <w:style w:type="character" w:customStyle="1" w:styleId="26">
    <w:name w:val="超链接1"/>
    <w:basedOn w:val="8"/>
    <w:link w:val="1"/>
    <w:qFormat/>
    <w:uiPriority w:val="0"/>
    <w:rPr>
      <w:color w:val="0000FF"/>
      <w:u w:val="single"/>
    </w:rPr>
  </w:style>
  <w:style w:type="character" w:customStyle="1" w:styleId="27">
    <w:name w:val="subheadital"/>
    <w:link w:val="1"/>
    <w:qFormat/>
    <w:uiPriority w:val="0"/>
  </w:style>
  <w:style w:type="paragraph" w:customStyle="1" w:styleId="28">
    <w:name w:val="列表段落"/>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1704</Words>
  <Characters>2008</Characters>
  <Lines>0</Lines>
  <Paragraphs>0</Paragraphs>
  <TotalTime>27</TotalTime>
  <ScaleCrop>false</ScaleCrop>
  <LinksUpToDate>false</LinksUpToDate>
  <CharactersWithSpaces>2088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2025-03-12T18:46:00Z</dcterms:created>
  <dc:creator>辜</dc:creator>
  <cp:lastModifiedBy>李苑</cp:lastModifiedBy>
  <dcterms:modified xsi:type="dcterms:W3CDTF">2025-05-27T03:44:05Z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eyJoZGlkIjoiMGMzZWM1Yjg2YmNlYzM0ZWEwYjhkZDU5Y2EzYjg2YzIiLCJ1c2VySWQiOiIyODAzNzM1MjcifQ==</vt:lpwstr>
  </property>
  <property fmtid="{D5CDD505-2E9C-101B-9397-08002B2CF9AE}" pid="3" name="KSOProductBuildVer">
    <vt:lpwstr>2052-12.1.0.20784</vt:lpwstr>
  </property>
  <property fmtid="{D5CDD505-2E9C-101B-9397-08002B2CF9AE}" pid="4" name="ICV">
    <vt:lpwstr>6C88312D43CE47A0B7111C3940F0139F_13</vt:lpwstr>
  </property>
</Properties>
</file>