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C2587">
      <w:pPr>
        <w:framePr w:wrap="auto" w:vAnchor="margin" w:hAnchor="text" w:yAlign="inline"/>
        <w:spacing w:before="240" w:beforeLines="100" w:after="240" w:afterLines="100" w:line="360" w:lineRule="auto"/>
        <w:contextualSpacing/>
        <w:jc w:val="center"/>
        <w:outlineLvl w:val="0"/>
        <w:rPr>
          <w:rFonts w:ascii="宋体" w:hAnsi="宋体" w:eastAsia="宋体" w:cs="宋体"/>
          <w:b/>
          <w:bCs/>
          <w:sz w:val="32"/>
          <w:szCs w:val="32"/>
          <w:lang w:val="zh-TW"/>
        </w:rPr>
      </w:pPr>
      <w:r>
        <w:rPr>
          <w:rFonts w:hint="cs" w:ascii="宋体" w:hAnsi="宋体" w:eastAsia="宋体" w:cs="宋体"/>
          <w:b/>
          <w:bCs/>
          <w:sz w:val="32"/>
          <w:szCs w:val="32"/>
          <w:lang w:val="zh-TW"/>
        </w:rPr>
        <w:t>《产业园区营商环境公共服务评价指标》</w:t>
      </w:r>
    </w:p>
    <w:p w14:paraId="747D8DF5">
      <w:pPr>
        <w:framePr w:wrap="auto" w:vAnchor="margin" w:hAnchor="text" w:yAlign="inline"/>
        <w:spacing w:before="240" w:beforeLines="100" w:after="240" w:afterLines="100" w:line="360" w:lineRule="auto"/>
        <w:contextualSpacing/>
        <w:jc w:val="center"/>
        <w:outlineLvl w:val="0"/>
        <w:rPr>
          <w:rFonts w:hint="default"/>
          <w:b/>
          <w:bCs/>
          <w:sz w:val="32"/>
          <w:szCs w:val="32"/>
          <w:lang w:val="zh-TW"/>
        </w:rPr>
      </w:pPr>
      <w:r>
        <w:rPr>
          <w:rFonts w:ascii="宋体" w:hAnsi="宋体" w:eastAsia="宋体" w:cs="宋体"/>
          <w:b/>
          <w:bCs/>
          <w:sz w:val="32"/>
          <w:szCs w:val="32"/>
          <w:lang w:val="zh-TW"/>
        </w:rPr>
        <w:t>团体标准编制说明</w:t>
      </w:r>
    </w:p>
    <w:p w14:paraId="38A48B72">
      <w:pPr>
        <w:pStyle w:val="15"/>
        <w:framePr w:wrap="auto" w:vAnchor="margin" w:hAnchor="text" w:yAlign="inline"/>
        <w:adjustRightInd w:val="0"/>
        <w:spacing w:line="360" w:lineRule="auto"/>
        <w:ind w:firstLine="482" w:firstLineChars="200"/>
        <w:rPr>
          <w:rFonts w:ascii="宋体" w:hAnsi="宋体" w:eastAsia="PMingLiU" w:cs="宋体"/>
          <w:b/>
          <w:bCs/>
          <w:color w:val="auto"/>
          <w:kern w:val="0"/>
          <w:sz w:val="24"/>
          <w:szCs w:val="24"/>
          <w:u w:color="0000FF"/>
          <w:lang w:val="zh-TW"/>
        </w:rPr>
      </w:pPr>
      <w:r>
        <w:rPr>
          <w:rFonts w:hint="default" w:ascii="宋体" w:hAnsi="宋体" w:eastAsia="宋体" w:cs="宋体"/>
          <w:b/>
          <w:bCs/>
          <w:color w:val="auto"/>
          <w:kern w:val="0"/>
          <w:sz w:val="24"/>
          <w:szCs w:val="24"/>
          <w:u w:color="0000FF"/>
          <w:lang w:val="zh-TW"/>
        </w:rPr>
        <w:t>一、</w:t>
      </w:r>
      <w:r>
        <w:rPr>
          <w:rFonts w:ascii="宋体" w:hAnsi="宋体" w:eastAsia="宋体" w:cs="宋体"/>
          <w:b/>
          <w:bCs/>
          <w:color w:val="auto"/>
          <w:kern w:val="0"/>
          <w:sz w:val="24"/>
          <w:szCs w:val="24"/>
          <w:u w:color="0000FF"/>
          <w:lang w:val="zh-TW"/>
        </w:rPr>
        <w:t>标准项目来源</w:t>
      </w:r>
    </w:p>
    <w:p w14:paraId="1B866EC8">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hint="cs" w:ascii="宋体" w:hAnsi="宋体" w:eastAsia="宋体" w:cs="宋体"/>
          <w:color w:val="auto"/>
          <w:sz w:val="24"/>
          <w:szCs w:val="24"/>
          <w:lang w:val="zh-TW"/>
        </w:rPr>
        <w:t>《产业园区营商环境公共服务评价指标》</w:t>
      </w:r>
      <w:r>
        <w:rPr>
          <w:rFonts w:ascii="宋体" w:hAnsi="宋体" w:eastAsia="宋体" w:cs="宋体"/>
          <w:color w:val="auto"/>
          <w:sz w:val="24"/>
          <w:szCs w:val="24"/>
          <w:lang w:val="zh-TW"/>
        </w:rPr>
        <w:t>团体标准（</w:t>
      </w:r>
      <w:r>
        <w:rPr>
          <w:rFonts w:ascii="宋体" w:hAnsi="宋体" w:eastAsia="宋体" w:cs="宋体"/>
          <w:color w:val="auto"/>
          <w:sz w:val="24"/>
          <w:szCs w:val="24"/>
        </w:rPr>
        <w:t>以下简称“本文件”</w:t>
      </w:r>
      <w:r>
        <w:rPr>
          <w:rFonts w:ascii="宋体" w:hAnsi="宋体" w:eastAsia="宋体" w:cs="宋体"/>
          <w:color w:val="auto"/>
          <w:sz w:val="24"/>
          <w:szCs w:val="24"/>
          <w:lang w:val="zh-TW"/>
        </w:rPr>
        <w:t>）</w:t>
      </w:r>
      <w:r>
        <w:rPr>
          <w:rFonts w:ascii="宋体" w:hAnsi="宋体" w:eastAsia="宋体" w:cs="宋体"/>
          <w:color w:val="auto"/>
          <w:sz w:val="24"/>
          <w:szCs w:val="24"/>
        </w:rPr>
        <w:t>响应了联合国2030可持续发展目标中的第3项“良好健康与福祉”、第4项“优质教育”，由中国国际贸易促进委员会商业行业委员会营商环境监测中心提出并组织起草，由中国国际贸易促进委员会商业行业委员会归口管理</w:t>
      </w:r>
      <w:r>
        <w:rPr>
          <w:rFonts w:ascii="宋体" w:hAnsi="宋体" w:eastAsia="宋体" w:cs="宋体"/>
          <w:color w:val="auto"/>
          <w:sz w:val="24"/>
          <w:szCs w:val="24"/>
          <w:lang w:val="zh-TW"/>
        </w:rPr>
        <w:t>。</w:t>
      </w:r>
    </w:p>
    <w:p w14:paraId="0F54A462">
      <w:pPr>
        <w:pStyle w:val="15"/>
        <w:framePr w:wrap="auto" w:vAnchor="margin" w:hAnchor="text" w:yAlign="inline"/>
        <w:adjustRightInd w:val="0"/>
        <w:spacing w:line="360" w:lineRule="auto"/>
        <w:ind w:firstLine="482"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二、标准制定的目的和意义</w:t>
      </w:r>
    </w:p>
    <w:p w14:paraId="3D330025">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（一）编制目的</w:t>
      </w:r>
    </w:p>
    <w:p w14:paraId="68995C49">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 统筹推进产业园区高质量发展</w:t>
      </w:r>
    </w:p>
    <w:p w14:paraId="5E765C58">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通过设立科学、统一的评价指标体系，统筹开展产业园区营商环境公共服务评价，不仅能够推动地方政府加快产业园区整合优化，促进产业园区有序健康发展，而且能够深入挖掘典型经验做法，发挥示范引领效益，推动地方经济高质量发展。</w:t>
      </w:r>
    </w:p>
    <w:p w14:paraId="7DC19786">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 激发经营主体活力</w:t>
      </w:r>
    </w:p>
    <w:p w14:paraId="06DEDDAE">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中小企业作为市场经济中数量最大、最具活力的企业群体，对营商环境的依赖度更高，因此，通过制定团体标准，可以更好地评估和提升产业园区内的营商环境，为中小企业提供更好的服务和发展条件。</w:t>
      </w:r>
    </w:p>
    <w:p w14:paraId="2EEB0233">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 促进产业园区招商引资</w:t>
      </w:r>
    </w:p>
    <w:p w14:paraId="08C03BE4">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通过该标准的制定，可以系统地评估产业园区在公共教育、公共就业、医疗服务、社会保障、公用事业、生态环境、公共交通、公共安全、公共文化、公共体育、养老服务、政务服务等12个领域的表现，从而指导产业园区如何改进和提升其公共服务质量和效率，吸引更多的企业和人才。</w:t>
      </w:r>
    </w:p>
    <w:p w14:paraId="51C659BE">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（二）编制意义</w:t>
      </w:r>
    </w:p>
    <w:p w14:paraId="416DA58A">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1. 为开展产业园区营商环境公共服务评价提供参考</w:t>
      </w:r>
    </w:p>
    <w:p w14:paraId="26747EF8">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本文件就产业园区营商环境公共服务评价指标的基本原则和指标设计，适用于以产业园区为对象构建营商环境公共服务评价指标体系，可以为开展产业园区营商环境公共服务评价提供参考。</w:t>
      </w:r>
    </w:p>
    <w:p w14:paraId="5E37AFC8">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2. 有助于科学衡量产业园区营商环境公共服务能力</w:t>
      </w:r>
    </w:p>
    <w:p w14:paraId="195F74A2">
      <w:pPr>
        <w:pStyle w:val="15"/>
        <w:framePr w:wrap="auto" w:vAnchor="margin" w:hAnchor="text" w:yAlign="inline"/>
        <w:adjustRightInd w:val="0"/>
        <w:spacing w:line="360" w:lineRule="auto"/>
        <w:ind w:firstLine="480" w:firstLineChars="200"/>
        <w:rPr>
          <w:rFonts w:ascii="宋体" w:hAnsi="宋体" w:cs="宋体" w:eastAsiaTheme="minorEastAsia"/>
          <w:color w:val="auto"/>
          <w:sz w:val="24"/>
          <w:szCs w:val="24"/>
          <w:lang w:val="zh-TW"/>
        </w:rPr>
      </w:pPr>
      <w:r>
        <w:rPr>
          <w:rFonts w:ascii="宋体" w:hAnsi="宋体" w:eastAsia="宋体" w:cs="宋体"/>
          <w:color w:val="auto"/>
          <w:sz w:val="24"/>
          <w:szCs w:val="24"/>
          <w:lang w:val="zh-TW"/>
        </w:rPr>
        <w:t>通过制定和实施团体标准，可以明确产业园区营商环境公共服务的质量要求和标准，进而科学衡量产业园区营商环境公共服务能力，确保产业园区能够按照统一的标准提供服务，从而提高服务效率和质量，满足经营主体的需求。</w:t>
      </w:r>
    </w:p>
    <w:p w14:paraId="7E0A30AE">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3. 促进产业园区营商环境公共服务优化</w:t>
      </w:r>
    </w:p>
    <w:p w14:paraId="67FA8E80">
      <w:pPr>
        <w:pStyle w:val="15"/>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本文件对产业园区营商环境公共服务的优化将起到基础性的支撑和积极的促进作用，标准化将更好构建适应科技创新、产业升级以及区域经济社会发展需要的公共服务体系，为进一步提升产业园区的吸引力、竞争力、创造力和驱动力赋能。</w:t>
      </w:r>
    </w:p>
    <w:p w14:paraId="1239B81E">
      <w:pPr>
        <w:pStyle w:val="15"/>
        <w:framePr w:wrap="auto" w:vAnchor="margin" w:hAnchor="text" w:yAlign="inline"/>
        <w:adjustRightInd w:val="0"/>
        <w:spacing w:line="360" w:lineRule="auto"/>
        <w:ind w:firstLine="482" w:firstLineChars="200"/>
        <w:rPr>
          <w:rFonts w:ascii="宋体" w:hAnsi="宋体" w:eastAsia="宋体" w:cs="宋体"/>
          <w:b/>
          <w:bCs/>
          <w:color w:val="auto"/>
          <w:kern w:val="0"/>
          <w:sz w:val="24"/>
          <w:szCs w:val="24"/>
          <w:u w:color="0000FF"/>
          <w:lang w:val="zh-TW"/>
        </w:rPr>
      </w:pPr>
      <w:r>
        <w:rPr>
          <w:rFonts w:ascii="宋体" w:hAnsi="宋体" w:eastAsia="宋体" w:cs="宋体"/>
          <w:b/>
          <w:bCs/>
          <w:color w:val="auto"/>
          <w:kern w:val="0"/>
          <w:sz w:val="24"/>
          <w:szCs w:val="24"/>
          <w:u w:color="0000FF"/>
          <w:lang w:val="zh-TW"/>
        </w:rPr>
        <w:t>三、标准起草的过程简述</w:t>
      </w:r>
    </w:p>
    <w:p w14:paraId="4B5914CA">
      <w:pPr>
        <w:framePr w:wrap="auto" w:vAnchor="margin" w:hAnchor="text" w:yAlign="inline"/>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（一）预研阶段</w:t>
      </w:r>
    </w:p>
    <w:p w14:paraId="337F6492">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中国国际贸易促进委员会商业行业委员会营商环境监测中心组织标准编写小组，于2024年2月启动项目需求调研工作，主要调研了河南、湖北、北京、吉林等相关政府和企业，收集了产业园区领域的企业、政府部门、行业协会等相关方的需求和意见，了解了当前企业满意度调查的现状及存在问题。</w:t>
      </w:r>
    </w:p>
    <w:p w14:paraId="3942110D">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组织专家对国内外相关领域的法律法规、政策文件、标准规范等进行收集和分析，为研究制定团体标准提供理论依据和参考。同时进行研讨，明确标准制定的目标、原则、范围和技术要求等。</w:t>
      </w:r>
    </w:p>
    <w:p w14:paraId="3694FBA9">
      <w:pPr>
        <w:framePr w:wrap="auto" w:vAnchor="margin" w:hAnchor="text" w:yAlign="inline"/>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（二）立项阶段</w:t>
      </w:r>
    </w:p>
    <w:p w14:paraId="0C87575E">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2024年4月由中国贸促会商业行业委员会营商环境监测中心整理资料，向中国国际贸易促进委员会商业行业委员会提交立项申请。</w:t>
      </w:r>
    </w:p>
    <w:p w14:paraId="3F2F63E0">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中国国际贸易促进委员会商业行业委员会对申请进行审查，评估标准的必要性和可行性，于2024年6月25日第五批团体标准项目计划中正式批准立项，计划编号：CCPIT-CSC-JH2024287。</w:t>
      </w:r>
    </w:p>
    <w:p w14:paraId="18176118">
      <w:pPr>
        <w:framePr w:wrap="auto" w:vAnchor="margin" w:hAnchor="text" w:yAlign="inline"/>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（三）起草阶段</w:t>
      </w:r>
    </w:p>
    <w:p w14:paraId="53F48B97">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组织起草小组：2024年4月，由中国贸促会商业行业委员会营商环境监测中心牵头成立起草小组，明确职责分工。</w:t>
      </w:r>
    </w:p>
    <w:p w14:paraId="679C10B2">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编制标准草案：2024年6月召开标准启动会暨首次研讨会，来自企事业单位、高校、科研院所的30余名代表通过线上线下方式参加了会议，起草组对标准情况进行了汇报，并围绕标准内容等方面展开了讨论。起草小组根据预研阶段的成果，结合国内外相关标准和实际情况，编制标准草案。主要内容包括标准的适用范围、术语和定义、评估原则、评估指标体系、评估方法等。会后，起草组针对启动会各单位及专家提出的</w:t>
      </w:r>
      <w:r>
        <w:rPr>
          <w:rFonts w:ascii="宋体" w:hAnsi="宋体" w:eastAsia="宋体" w:cs="宋体"/>
          <w:sz w:val="24"/>
          <w:szCs w:val="24"/>
        </w:rPr>
        <w:t>12</w:t>
      </w:r>
      <w:r>
        <w:rPr>
          <w:rFonts w:ascii="宋体" w:hAnsi="宋体" w:eastAsia="宋体" w:cs="宋体"/>
          <w:sz w:val="24"/>
          <w:szCs w:val="24"/>
          <w:lang w:val="zh-TW"/>
        </w:rPr>
        <w:t>条修改建议进行了处理，对相应的标准文本进行修订，并开始新一轮意见征集。</w:t>
      </w:r>
    </w:p>
    <w:p w14:paraId="69396BA1">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3. 内部审查：起草小组内部对标准草案进行多次审查和修改，确保标准内容的科学性、合理性和可操作性。2024年12月底，标准第二次研讨会顺利召开，会议主要围绕启动会和首次研讨会召开以来征集到的意见进行讨论，针对专家提出的</w:t>
      </w:r>
      <w:r>
        <w:rPr>
          <w:rFonts w:ascii="宋体" w:hAnsi="宋体" w:eastAsia="宋体" w:cs="宋体"/>
          <w:sz w:val="24"/>
          <w:szCs w:val="24"/>
        </w:rPr>
        <w:t>8</w:t>
      </w:r>
      <w:r>
        <w:rPr>
          <w:rFonts w:ascii="宋体" w:hAnsi="宋体" w:eastAsia="宋体" w:cs="宋体"/>
          <w:sz w:val="24"/>
          <w:szCs w:val="24"/>
          <w:lang w:val="zh-TW"/>
        </w:rPr>
        <w:t>条修改建议进行处理，并对相应的标准文本进行修改。20</w:t>
      </w:r>
      <w:r>
        <w:rPr>
          <w:rFonts w:ascii="宋体" w:hAnsi="宋体" w:eastAsia="宋体" w:cs="宋体"/>
          <w:sz w:val="24"/>
          <w:szCs w:val="24"/>
        </w:rPr>
        <w:t>2</w:t>
      </w:r>
      <w:r>
        <w:rPr>
          <w:rFonts w:ascii="宋体" w:hAnsi="宋体" w:eastAsia="宋体" w:cs="宋体"/>
          <w:sz w:val="24"/>
          <w:szCs w:val="24"/>
          <w:lang w:val="zh-TW"/>
        </w:rPr>
        <w:t>5年3月，标准第三次研讨会召开，针对专家提出的修改</w:t>
      </w:r>
      <w:r>
        <w:rPr>
          <w:rFonts w:ascii="宋体" w:hAnsi="宋体" w:eastAsia="宋体" w:cs="宋体"/>
          <w:sz w:val="24"/>
          <w:szCs w:val="24"/>
        </w:rPr>
        <w:t>3</w:t>
      </w:r>
      <w:r>
        <w:rPr>
          <w:rFonts w:ascii="宋体" w:hAnsi="宋体" w:eastAsia="宋体" w:cs="宋体"/>
          <w:sz w:val="24"/>
          <w:szCs w:val="24"/>
          <w:lang w:val="zh-TW"/>
        </w:rPr>
        <w:t>条修改建议进行处理。</w:t>
      </w:r>
    </w:p>
    <w:p w14:paraId="5AE30010">
      <w:pPr>
        <w:framePr w:wrap="auto" w:vAnchor="margin" w:hAnchor="text" w:yAlign="inline"/>
        <w:adjustRightInd w:val="0"/>
        <w:spacing w:line="360" w:lineRule="auto"/>
        <w:ind w:firstLine="482" w:firstLineChars="200"/>
        <w:rPr>
          <w:rFonts w:ascii="宋体" w:hAnsi="宋体" w:eastAsia="宋体" w:cs="宋体"/>
          <w:b/>
          <w:bCs/>
          <w:sz w:val="24"/>
          <w:szCs w:val="24"/>
          <w:lang w:val="zh-TW"/>
        </w:rPr>
      </w:pPr>
      <w:r>
        <w:rPr>
          <w:rFonts w:ascii="宋体" w:hAnsi="宋体" w:eastAsia="宋体" w:cs="宋体"/>
          <w:b/>
          <w:bCs/>
          <w:sz w:val="24"/>
          <w:szCs w:val="24"/>
          <w:lang w:val="zh-TW"/>
        </w:rPr>
        <w:t>（四）征求意见阶段</w:t>
      </w:r>
    </w:p>
    <w:p w14:paraId="51865A53">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在征求意见阶段，主要工作包括：</w:t>
      </w:r>
    </w:p>
    <w:p w14:paraId="2A440D4D">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1. 公开征求意见：通过信函、会议、挂网公开征求意见等多种形式，向相关企业、政府部门、行业协会等广泛征求意见。</w:t>
      </w:r>
    </w:p>
    <w:p w14:paraId="0445268B">
      <w:pPr>
        <w:framePr w:wrap="auto" w:vAnchor="margin" w:hAnchor="text" w:yAlign="inline"/>
        <w:adjustRightInd w:val="0"/>
        <w:spacing w:line="360" w:lineRule="auto"/>
        <w:ind w:firstLine="480" w:firstLineChars="200"/>
        <w:rPr>
          <w:rFonts w:ascii="宋体" w:hAnsi="宋体" w:eastAsia="宋体" w:cs="宋体"/>
          <w:sz w:val="24"/>
          <w:szCs w:val="24"/>
          <w:lang w:val="zh-TW"/>
        </w:rPr>
      </w:pPr>
      <w:r>
        <w:rPr>
          <w:rFonts w:ascii="宋体" w:hAnsi="宋体" w:eastAsia="宋体" w:cs="宋体"/>
          <w:sz w:val="24"/>
          <w:szCs w:val="24"/>
          <w:lang w:val="zh-TW"/>
        </w:rPr>
        <w:t>2. 意见汇总与处理：2025年</w:t>
      </w:r>
      <w:r>
        <w:rPr>
          <w:rFonts w:ascii="宋体" w:hAnsi="宋体" w:eastAsia="宋体" w:cs="宋体"/>
          <w:sz w:val="24"/>
          <w:szCs w:val="24"/>
        </w:rPr>
        <w:t>4</w:t>
      </w:r>
      <w:r>
        <w:rPr>
          <w:rFonts w:ascii="宋体" w:hAnsi="宋体" w:eastAsia="宋体" w:cs="宋体"/>
          <w:sz w:val="24"/>
          <w:szCs w:val="24"/>
          <w:lang w:val="zh-TW"/>
        </w:rPr>
        <w:t>月，我们将对收集到的意见进行汇总和分析，对合理的意见进行采纳，对不合理的意见进行解释说明，并对标准草案进行相应修改</w:t>
      </w:r>
      <w:bookmarkStart w:id="0" w:name="_GoBack"/>
      <w:bookmarkEnd w:id="0"/>
      <w:r>
        <w:rPr>
          <w:rFonts w:ascii="宋体" w:hAnsi="宋体" w:eastAsia="宋体" w:cs="宋体"/>
          <w:sz w:val="24"/>
          <w:szCs w:val="24"/>
          <w:lang w:val="zh-TW"/>
        </w:rPr>
        <w:t>。</w:t>
      </w:r>
    </w:p>
    <w:p w14:paraId="6BE467BA">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四、标准的主要内容和依据</w:t>
      </w:r>
    </w:p>
    <w:p w14:paraId="346C447B">
      <w:pPr>
        <w:framePr w:wrap="auto" w:vAnchor="margin" w:hAnchor="text" w:yAlign="inline"/>
        <w:adjustRightInd w:val="0"/>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（一）</w:t>
      </w:r>
      <w:r>
        <w:rPr>
          <w:rFonts w:ascii="宋体" w:hAnsi="宋体" w:eastAsia="宋体" w:cs="宋体"/>
          <w:color w:val="auto"/>
          <w:sz w:val="24"/>
          <w:szCs w:val="24"/>
          <w:lang w:val="zh-TW"/>
        </w:rPr>
        <w:t>制定原则</w:t>
      </w:r>
    </w:p>
    <w:p w14:paraId="388BEA8A">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1. 合理性原则</w:t>
      </w:r>
    </w:p>
    <w:p w14:paraId="6AB19163">
      <w:pPr>
        <w:framePr w:wrap="auto" w:vAnchor="margin" w:hAnchor="text" w:yAlign="inline"/>
        <w:adjustRightInd w:val="0"/>
        <w:spacing w:line="360" w:lineRule="auto"/>
        <w:ind w:firstLine="480" w:firstLineChars="200"/>
        <w:rPr>
          <w:rFonts w:hint="default"/>
          <w:lang w:val="zh-TW"/>
        </w:rPr>
      </w:pPr>
      <w:r>
        <w:rPr>
          <w:rFonts w:ascii="宋体" w:hAnsi="宋体" w:eastAsia="宋体" w:cs="宋体"/>
          <w:color w:val="auto"/>
          <w:sz w:val="24"/>
          <w:szCs w:val="24"/>
        </w:rPr>
        <w:t>本文件应当符合法律、行政法规等上位法以及国家政策文件的要求，符合理性、适当的要求。</w:t>
      </w:r>
    </w:p>
    <w:p w14:paraId="39237A54">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2. 开放性原则</w:t>
      </w:r>
    </w:p>
    <w:p w14:paraId="2118A98E">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本文件的制定过程应对所有利益相关者开放，鼓励社会各界的参与和贡献，确保标准的制定基于广泛的讨论和协商。</w:t>
      </w:r>
    </w:p>
    <w:p w14:paraId="4A2D7989">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3. 透明性原则</w:t>
      </w:r>
    </w:p>
    <w:p w14:paraId="4D9C6B83">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本文件制定的所有相关信息，包括制定过程、技术内容等应向公众公开，便于社会监督和参与，增加标准的可信度和认可度。</w:t>
      </w:r>
    </w:p>
    <w:p w14:paraId="04D56C44">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4. 公平性原则</w:t>
      </w:r>
    </w:p>
    <w:p w14:paraId="0AA720DB">
      <w:pPr>
        <w:pStyle w:val="16"/>
        <w:numPr>
          <w:ilvl w:val="0"/>
          <w:numId w:val="0"/>
        </w:numPr>
        <w:tabs>
          <w:tab w:val="left" w:pos="312"/>
        </w:tabs>
        <w:adjustRightInd w:val="0"/>
        <w:spacing w:before="0" w:beforeLines="0" w:after="0" w:afterLines="0" w:line="360" w:lineRule="auto"/>
        <w:ind w:firstLine="480" w:firstLineChars="200"/>
        <w:rPr>
          <w:rFonts w:hint="eastAsia" w:ascii="宋体" w:hAnsi="宋体" w:eastAsia="宋体" w:cs="宋体"/>
          <w:sz w:val="24"/>
          <w:szCs w:val="24"/>
          <w:lang w:val="zh-TW"/>
        </w:rPr>
      </w:pPr>
      <w:r>
        <w:rPr>
          <w:rFonts w:hint="eastAsia" w:ascii="宋体" w:hAnsi="宋体" w:eastAsia="宋体" w:cs="宋体"/>
          <w:sz w:val="24"/>
          <w:szCs w:val="24"/>
          <w:lang w:val="zh-TW"/>
        </w:rPr>
        <w:t>在制定过程中，应确保所有参与者都有平等的机会发表意见和建议，避免任何形式的偏袒或歧视，以保证标准的公正性。</w:t>
      </w:r>
    </w:p>
    <w:p w14:paraId="48A43538">
      <w:pPr>
        <w:pStyle w:val="17"/>
        <w:adjustRightInd w:val="0"/>
        <w:spacing w:line="360" w:lineRule="auto"/>
        <w:ind w:firstLine="480"/>
        <w:rPr>
          <w:rFonts w:hint="eastAsia" w:hAnsi="宋体" w:cs="宋体"/>
          <w:sz w:val="24"/>
          <w:szCs w:val="24"/>
          <w:lang w:val="zh-TW"/>
        </w:rPr>
      </w:pPr>
      <w:r>
        <w:rPr>
          <w:rFonts w:hint="eastAsia" w:hAnsi="宋体" w:cs="宋体"/>
          <w:sz w:val="24"/>
          <w:szCs w:val="24"/>
          <w:lang w:val="zh-TW"/>
        </w:rPr>
        <w:t>5. 科学性原则</w:t>
      </w:r>
    </w:p>
    <w:p w14:paraId="5E9A8001">
      <w:pPr>
        <w:pStyle w:val="17"/>
        <w:adjustRightInd w:val="0"/>
        <w:spacing w:line="360" w:lineRule="auto"/>
        <w:ind w:firstLine="480"/>
        <w:rPr>
          <w:rFonts w:hint="eastAsia" w:hAnsi="宋体" w:cs="宋体"/>
          <w:sz w:val="24"/>
          <w:szCs w:val="24"/>
          <w:lang w:val="zh-TW"/>
        </w:rPr>
      </w:pPr>
      <w:r>
        <w:rPr>
          <w:rFonts w:hint="eastAsia" w:hAnsi="宋体" w:cs="宋体"/>
          <w:sz w:val="24"/>
          <w:szCs w:val="24"/>
          <w:lang w:val="zh-TW"/>
        </w:rPr>
        <w:t>本文件应遵循科学性原则，评价指标的选取应具有科学合理的理论基础和实证依据，能全面反映公共服务的各个方面和层次，确保评价结果的客观性和可信度</w:t>
      </w:r>
    </w:p>
    <w:p w14:paraId="682D9E52">
      <w:pPr>
        <w:pStyle w:val="16"/>
        <w:numPr>
          <w:ilvl w:val="0"/>
          <w:numId w:val="0"/>
        </w:numPr>
        <w:tabs>
          <w:tab w:val="left" w:pos="312"/>
        </w:tabs>
        <w:adjustRightInd w:val="0"/>
        <w:spacing w:before="0" w:beforeLines="0" w:after="0" w:afterLines="0" w:line="360" w:lineRule="auto"/>
        <w:ind w:firstLine="480" w:firstLineChars="200"/>
      </w:pPr>
      <w:r>
        <w:rPr>
          <w:rFonts w:hint="eastAsia" w:ascii="宋体" w:hAnsi="宋体" w:eastAsia="宋体" w:cs="宋体"/>
          <w:sz w:val="24"/>
          <w:szCs w:val="24"/>
          <w:lang w:val="zh-TW"/>
        </w:rPr>
        <w:t>（二）</w:t>
      </w:r>
      <w:r>
        <w:rPr>
          <w:rFonts w:ascii="宋体" w:hAnsi="宋体" w:eastAsia="宋体" w:cs="宋体"/>
          <w:sz w:val="24"/>
          <w:szCs w:val="24"/>
          <w:lang w:val="zh-TW"/>
        </w:rPr>
        <w:t>主要技术内容的说</w:t>
      </w:r>
      <w:r>
        <w:rPr>
          <w:rFonts w:hint="eastAsia" w:ascii="宋体" w:hAnsi="宋体" w:eastAsia="宋体" w:cs="宋体"/>
          <w:sz w:val="24"/>
          <w:szCs w:val="24"/>
          <w:lang w:val="zh-TW"/>
        </w:rPr>
        <w:t>明</w:t>
      </w:r>
    </w:p>
    <w:p w14:paraId="391FA893">
      <w:pPr>
        <w:pStyle w:val="17"/>
        <w:adjustRightInd w:val="0"/>
        <w:spacing w:line="360" w:lineRule="auto"/>
        <w:ind w:firstLine="480"/>
        <w:rPr>
          <w:rFonts w:hint="eastAsia" w:hAnsi="宋体" w:cs="宋体"/>
          <w:kern w:val="2"/>
          <w:sz w:val="24"/>
          <w:szCs w:val="24"/>
          <w:u w:color="000000"/>
          <w:lang w:val="zh-TW"/>
        </w:rPr>
      </w:pPr>
      <w:r>
        <w:rPr>
          <w:rFonts w:hint="eastAsia" w:hAnsi="宋体" w:cs="宋体"/>
          <w:kern w:val="2"/>
          <w:sz w:val="24"/>
          <w:szCs w:val="24"/>
          <w:u w:color="000000"/>
          <w:lang w:val="zh-TW"/>
        </w:rPr>
        <w:t>产业园区营商环境公共服务评价的内容应根据评价的目的选择确定，应至少包括以下服务领域的一项或多项：公共教育、公共就业、医疗服务、社会保障、公用事业、生态环境、公共交通、公共安全、公共文化、公共体育、养老服务、政务服务等12个领域。可根据实际情况选择全部或部分领域开展相关评价活动</w:t>
      </w:r>
      <w:r>
        <w:rPr>
          <w:rFonts w:hint="cs" w:hAnsi="宋体" w:cs="宋体"/>
          <w:kern w:val="2"/>
          <w:sz w:val="24"/>
          <w:szCs w:val="24"/>
          <w:u w:color="000000"/>
          <w:lang w:val="zh-TW"/>
        </w:rPr>
        <w:t>。</w:t>
      </w:r>
    </w:p>
    <w:p w14:paraId="0E92E1C0">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五、标准的水平</w:t>
      </w:r>
    </w:p>
    <w:p w14:paraId="33EB4E21">
      <w:pPr>
        <w:framePr w:wrap="auto" w:vAnchor="margin" w:hAnchor="text" w:yAlign="inline"/>
        <w:spacing w:line="360" w:lineRule="auto"/>
        <w:ind w:firstLine="480" w:firstLineChars="200"/>
        <w:rPr>
          <w:rFonts w:ascii="宋体" w:hAnsi="宋体" w:eastAsia="宋体" w:cs="宋体"/>
          <w:sz w:val="24"/>
          <w:szCs w:val="24"/>
        </w:rPr>
      </w:pPr>
      <w:r>
        <w:rPr>
          <w:rFonts w:hint="default" w:ascii="宋体" w:hAnsi="宋体" w:eastAsia="宋体" w:cs="宋体"/>
          <w:color w:val="auto"/>
          <w:sz w:val="24"/>
          <w:szCs w:val="24"/>
          <w:lang w:val="zh-TW"/>
        </w:rPr>
        <w:t>该团体标准作为产业园区营商环境公共服务</w:t>
      </w:r>
      <w:r>
        <w:rPr>
          <w:rFonts w:ascii="宋体" w:hAnsi="宋体" w:eastAsia="宋体" w:cs="宋体"/>
          <w:color w:val="auto"/>
          <w:sz w:val="24"/>
          <w:szCs w:val="24"/>
          <w:lang w:val="zh-TW"/>
        </w:rPr>
        <w:t>的专业性评价指标</w:t>
      </w:r>
      <w:r>
        <w:rPr>
          <w:rFonts w:hint="default" w:ascii="宋体" w:hAnsi="宋体" w:eastAsia="宋体" w:cs="宋体"/>
          <w:color w:val="auto"/>
          <w:sz w:val="24"/>
          <w:szCs w:val="24"/>
          <w:lang w:val="zh-TW"/>
        </w:rPr>
        <w:t>，其水平应定位于国内先进水平或国际先进水平，具体取决于标准制定过程中所参考的国内外相关标准、技术发展趋势以及</w:t>
      </w:r>
      <w:r>
        <w:rPr>
          <w:rFonts w:ascii="宋体" w:hAnsi="宋体" w:eastAsia="宋体" w:cs="宋体"/>
          <w:color w:val="auto"/>
          <w:sz w:val="24"/>
          <w:szCs w:val="24"/>
          <w:lang w:val="zh-TW"/>
        </w:rPr>
        <w:t>产业园区营商环境公共服务</w:t>
      </w:r>
      <w:r>
        <w:rPr>
          <w:rFonts w:hint="default" w:ascii="宋体" w:hAnsi="宋体" w:eastAsia="宋体" w:cs="宋体"/>
          <w:color w:val="auto"/>
          <w:sz w:val="24"/>
          <w:szCs w:val="24"/>
          <w:lang w:val="zh-TW"/>
        </w:rPr>
        <w:t>的实际需求。该标准将结合</w:t>
      </w:r>
      <w:r>
        <w:rPr>
          <w:rFonts w:ascii="宋体" w:hAnsi="宋体" w:eastAsia="宋体" w:cs="宋体"/>
          <w:color w:val="auto"/>
          <w:sz w:val="24"/>
          <w:szCs w:val="24"/>
          <w:lang w:val="zh-TW"/>
        </w:rPr>
        <w:t>产业园区营商环境公共服务</w:t>
      </w:r>
      <w:r>
        <w:rPr>
          <w:rFonts w:hint="default" w:ascii="宋体" w:hAnsi="宋体" w:eastAsia="宋体" w:cs="宋体"/>
          <w:color w:val="auto"/>
          <w:sz w:val="24"/>
          <w:szCs w:val="24"/>
          <w:lang w:val="zh-TW"/>
        </w:rPr>
        <w:t>的要求，提出具有科学性、合理性和可操作性的评估指标体系和方法，为</w:t>
      </w:r>
      <w:r>
        <w:rPr>
          <w:rFonts w:ascii="宋体" w:hAnsi="宋体" w:eastAsia="宋体" w:cs="宋体"/>
          <w:color w:val="auto"/>
          <w:sz w:val="24"/>
          <w:szCs w:val="24"/>
          <w:lang w:val="zh-TW"/>
        </w:rPr>
        <w:t>产业园区营商环境公共服务能力的</w:t>
      </w:r>
      <w:r>
        <w:rPr>
          <w:rFonts w:hint="default" w:ascii="宋体" w:hAnsi="宋体" w:eastAsia="宋体" w:cs="宋体"/>
          <w:color w:val="auto"/>
          <w:sz w:val="24"/>
          <w:szCs w:val="24"/>
          <w:lang w:val="zh-TW"/>
        </w:rPr>
        <w:t>优化和提升提供有力支撑。</w:t>
      </w:r>
    </w:p>
    <w:p w14:paraId="6521177C">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六、与有关的现行法律、法规和强制性国家标准的关系</w:t>
      </w:r>
    </w:p>
    <w:p w14:paraId="418EE589">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hint="default" w:ascii="宋体" w:hAnsi="宋体" w:eastAsia="宋体" w:cs="宋体"/>
          <w:color w:val="auto"/>
          <w:sz w:val="24"/>
          <w:szCs w:val="24"/>
          <w:lang w:val="zh-TW"/>
        </w:rPr>
        <w:t>与现行法律、法规的关系：</w:t>
      </w:r>
    </w:p>
    <w:p w14:paraId="22088B6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hint="default" w:ascii="宋体" w:hAnsi="宋体" w:eastAsia="宋体" w:cs="宋体"/>
          <w:color w:val="auto"/>
          <w:sz w:val="24"/>
          <w:szCs w:val="24"/>
          <w:lang w:val="zh-TW"/>
        </w:rPr>
        <w:t>该团体标准应严格遵循国家现行的相关法律、法规，确保</w:t>
      </w:r>
      <w:r>
        <w:rPr>
          <w:rFonts w:ascii="宋体" w:hAnsi="宋体" w:eastAsia="宋体" w:cs="宋体"/>
          <w:color w:val="auto"/>
          <w:sz w:val="24"/>
          <w:szCs w:val="24"/>
          <w:lang w:val="zh-TW"/>
        </w:rPr>
        <w:t>评价</w:t>
      </w:r>
      <w:r>
        <w:rPr>
          <w:rFonts w:hint="default" w:ascii="宋体" w:hAnsi="宋体" w:eastAsia="宋体" w:cs="宋体"/>
          <w:color w:val="auto"/>
          <w:sz w:val="24"/>
          <w:szCs w:val="24"/>
          <w:lang w:val="zh-TW"/>
        </w:rPr>
        <w:t>工作的合法性和合规性。在遵循国家法律、法规的基础上，该标准将进一步细化产业园区营商环境公共服务</w:t>
      </w:r>
      <w:r>
        <w:rPr>
          <w:rFonts w:ascii="宋体" w:hAnsi="宋体" w:eastAsia="宋体" w:cs="宋体"/>
          <w:color w:val="auto"/>
          <w:sz w:val="24"/>
          <w:szCs w:val="24"/>
          <w:lang w:val="zh-TW"/>
        </w:rPr>
        <w:t>评价</w:t>
      </w:r>
      <w:r>
        <w:rPr>
          <w:rFonts w:hint="default" w:ascii="宋体" w:hAnsi="宋体" w:eastAsia="宋体" w:cs="宋体"/>
          <w:color w:val="auto"/>
          <w:sz w:val="24"/>
          <w:szCs w:val="24"/>
          <w:lang w:val="zh-TW"/>
        </w:rPr>
        <w:t>的指标</w:t>
      </w:r>
      <w:r>
        <w:rPr>
          <w:rFonts w:ascii="宋体" w:hAnsi="宋体" w:eastAsia="宋体" w:cs="宋体"/>
          <w:color w:val="auto"/>
          <w:sz w:val="24"/>
          <w:szCs w:val="24"/>
          <w:lang w:val="zh-TW"/>
        </w:rPr>
        <w:t>内容</w:t>
      </w:r>
      <w:r>
        <w:rPr>
          <w:rFonts w:hint="default" w:ascii="宋体" w:hAnsi="宋体" w:eastAsia="宋体" w:cs="宋体"/>
          <w:color w:val="auto"/>
          <w:sz w:val="24"/>
          <w:szCs w:val="24"/>
          <w:lang w:val="zh-TW"/>
        </w:rPr>
        <w:t>，为相关方提供更加详细、具体的指导。</w:t>
      </w:r>
    </w:p>
    <w:p w14:paraId="3CD948C2">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hint="default" w:ascii="宋体" w:hAnsi="宋体" w:eastAsia="宋体" w:cs="宋体"/>
          <w:color w:val="auto"/>
          <w:sz w:val="24"/>
          <w:szCs w:val="24"/>
          <w:lang w:val="zh-TW"/>
        </w:rPr>
        <w:t>与强制性国家标准的关系：</w:t>
      </w:r>
    </w:p>
    <w:p w14:paraId="76C91FDA">
      <w:pPr>
        <w:framePr w:wrap="auto" w:vAnchor="margin" w:hAnchor="text" w:yAlign="inline"/>
        <w:spacing w:line="360" w:lineRule="auto"/>
        <w:ind w:firstLine="480" w:firstLineChars="200"/>
        <w:rPr>
          <w:rFonts w:ascii="宋体" w:hAnsi="宋体" w:eastAsia="宋体" w:cs="宋体"/>
          <w:color w:val="auto"/>
          <w:sz w:val="24"/>
          <w:szCs w:val="24"/>
        </w:rPr>
      </w:pPr>
      <w:r>
        <w:rPr>
          <w:rFonts w:ascii="宋体" w:hAnsi="宋体" w:eastAsia="宋体" w:cs="宋体"/>
          <w:color w:val="auto"/>
          <w:sz w:val="24"/>
          <w:szCs w:val="24"/>
        </w:rPr>
        <w:t>目前该领域尚无强制性国家标准。</w:t>
      </w:r>
      <w:r>
        <w:rPr>
          <w:rFonts w:hint="default" w:ascii="宋体" w:hAnsi="宋体" w:eastAsia="宋体" w:cs="宋体"/>
          <w:color w:val="auto"/>
          <w:sz w:val="24"/>
          <w:szCs w:val="24"/>
          <w:lang w:val="zh-TW"/>
        </w:rPr>
        <w:t>该团体标准将填补产业园区营商环境公共服务</w:t>
      </w:r>
      <w:r>
        <w:rPr>
          <w:rFonts w:ascii="宋体" w:hAnsi="宋体" w:eastAsia="宋体" w:cs="宋体"/>
          <w:color w:val="auto"/>
          <w:sz w:val="24"/>
          <w:szCs w:val="24"/>
          <w:lang w:val="zh-TW"/>
        </w:rPr>
        <w:t>评价方面</w:t>
      </w:r>
      <w:r>
        <w:rPr>
          <w:rFonts w:hint="default" w:ascii="宋体" w:hAnsi="宋体" w:eastAsia="宋体" w:cs="宋体"/>
          <w:color w:val="auto"/>
          <w:sz w:val="24"/>
          <w:szCs w:val="24"/>
          <w:lang w:val="zh-TW"/>
        </w:rPr>
        <w:t>的标准空白，为行业的健康发展提供有力保障。</w:t>
      </w:r>
    </w:p>
    <w:p w14:paraId="1CD7E52F">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七、贯彻标准的要求和措施建议</w:t>
      </w:r>
    </w:p>
    <w:p w14:paraId="218000A3">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hint="default" w:ascii="宋体" w:hAnsi="宋体" w:eastAsia="宋体" w:cs="宋体"/>
          <w:color w:val="auto"/>
          <w:sz w:val="24"/>
          <w:szCs w:val="24"/>
          <w:lang w:val="zh-TW"/>
        </w:rPr>
        <w:t>贯彻标准的要求：</w:t>
      </w:r>
    </w:p>
    <w:p w14:paraId="46A52868">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广泛宣传：通过多种渠道和方式，广泛宣传该团体标准的重要性和必要性，提高相关方的认知度和接受度。</w:t>
      </w:r>
    </w:p>
    <w:p w14:paraId="490C0AA7">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培训教育：组织专题培训和交流活动，提高相关方对标准的理解和应用能力。</w:t>
      </w:r>
    </w:p>
    <w:p w14:paraId="6E017F95">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严格实施：要求相关方在评估工作中严格按照标准执行，确保评估结果的客观性和准确性。</w:t>
      </w:r>
    </w:p>
    <w:p w14:paraId="4A886BF1">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hint="default" w:ascii="宋体" w:hAnsi="宋体" w:eastAsia="宋体" w:cs="宋体"/>
          <w:color w:val="auto"/>
          <w:sz w:val="24"/>
          <w:szCs w:val="24"/>
          <w:lang w:val="zh-TW"/>
        </w:rPr>
        <w:t>措施建议：</w:t>
      </w:r>
    </w:p>
    <w:p w14:paraId="6EA1DD48">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1. </w:t>
      </w:r>
      <w:r>
        <w:rPr>
          <w:rFonts w:hint="default" w:ascii="宋体" w:hAnsi="宋体" w:eastAsia="宋体" w:cs="宋体"/>
          <w:color w:val="auto"/>
          <w:sz w:val="24"/>
          <w:szCs w:val="24"/>
          <w:lang w:val="zh-TW"/>
        </w:rPr>
        <w:t>建立监督机制：建立健全的监督机制，对标准的实施情况进行定期检查和评估，确保标准的有效执行。</w:t>
      </w:r>
    </w:p>
    <w:p w14:paraId="52B3001A">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2. </w:t>
      </w:r>
      <w:r>
        <w:rPr>
          <w:rFonts w:hint="default" w:ascii="宋体" w:hAnsi="宋体" w:eastAsia="宋体" w:cs="宋体"/>
          <w:color w:val="auto"/>
          <w:sz w:val="24"/>
          <w:szCs w:val="24"/>
          <w:lang w:val="zh-TW"/>
        </w:rPr>
        <w:t>加强协调合作：加强政府、企业、行业协会等各方之间的协调合作，</w:t>
      </w:r>
      <w:r>
        <w:rPr>
          <w:rFonts w:ascii="宋体" w:hAnsi="宋体" w:eastAsia="宋体" w:cs="宋体"/>
          <w:color w:val="auto"/>
          <w:sz w:val="24"/>
          <w:szCs w:val="24"/>
          <w:lang w:val="zh-TW"/>
        </w:rPr>
        <w:t>共同</w:t>
      </w:r>
      <w:r>
        <w:rPr>
          <w:rFonts w:hint="default" w:ascii="宋体" w:hAnsi="宋体" w:eastAsia="宋体" w:cs="宋体"/>
          <w:color w:val="auto"/>
          <w:sz w:val="24"/>
          <w:szCs w:val="24"/>
          <w:lang w:val="zh-TW"/>
        </w:rPr>
        <w:t>推动标准的贯彻实施。</w:t>
      </w:r>
    </w:p>
    <w:p w14:paraId="3817C37B">
      <w:pPr>
        <w:framePr w:wrap="auto" w:vAnchor="margin" w:hAnchor="text" w:yAlign="inline"/>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lang w:val="zh-TW"/>
        </w:rPr>
        <w:t xml:space="preserve">3. </w:t>
      </w:r>
      <w:r>
        <w:rPr>
          <w:rFonts w:hint="default" w:ascii="宋体" w:hAnsi="宋体" w:eastAsia="宋体" w:cs="宋体"/>
          <w:color w:val="auto"/>
          <w:sz w:val="24"/>
          <w:szCs w:val="24"/>
          <w:lang w:val="zh-TW"/>
        </w:rPr>
        <w:t>鼓励创新：鼓励相关方在标准实施过程中积极创新，探索更加高效、便捷的评估方法和技术手段。</w:t>
      </w:r>
    </w:p>
    <w:p w14:paraId="02B31DF4">
      <w:pPr>
        <w:framePr w:wrap="auto" w:vAnchor="margin" w:hAnchor="text" w:yAlign="inline"/>
        <w:adjustRightInd w:val="0"/>
        <w:spacing w:line="360" w:lineRule="auto"/>
        <w:ind w:firstLine="482" w:firstLineChars="200"/>
        <w:rPr>
          <w:rFonts w:ascii="宋体" w:hAnsi="宋体" w:eastAsia="宋体" w:cs="宋体"/>
          <w:b/>
          <w:bCs/>
          <w:kern w:val="0"/>
          <w:sz w:val="24"/>
          <w:szCs w:val="24"/>
          <w:lang w:val="zh-TW"/>
        </w:rPr>
      </w:pPr>
      <w:r>
        <w:rPr>
          <w:rFonts w:ascii="宋体" w:hAnsi="宋体" w:eastAsia="宋体" w:cs="宋体"/>
          <w:b/>
          <w:bCs/>
          <w:kern w:val="0"/>
          <w:sz w:val="24"/>
          <w:szCs w:val="24"/>
          <w:lang w:val="zh-TW"/>
        </w:rPr>
        <w:t>八、标准实施的预期效果</w:t>
      </w:r>
    </w:p>
    <w:p w14:paraId="2C90CC12">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（一）</w:t>
      </w:r>
      <w:r>
        <w:rPr>
          <w:rFonts w:ascii="宋体" w:hAnsi="宋体" w:eastAsia="宋体" w:cs="宋体"/>
          <w:color w:val="auto"/>
          <w:sz w:val="24"/>
          <w:szCs w:val="24"/>
          <w:lang w:val="zh-TW"/>
        </w:rPr>
        <w:t>提升服务效率和质量：通过实施本文件，可以规范和提升产业园区营商环境公共服务的质量和效率。这包括但不限于提高企业注册和设立效率、优化营商服务流程、改善园区基础设施等，从而为企业提供更加便利、高效的经营环境。</w:t>
      </w:r>
    </w:p>
    <w:p w14:paraId="49F18B62">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（二）</w:t>
      </w:r>
      <w:r>
        <w:rPr>
          <w:rFonts w:ascii="宋体" w:hAnsi="宋体" w:eastAsia="宋体" w:cs="宋体"/>
          <w:color w:val="auto"/>
          <w:sz w:val="24"/>
          <w:szCs w:val="24"/>
          <w:lang w:val="zh-TW"/>
        </w:rPr>
        <w:t>降低成本：实施本文件有助于降低企业经营成本。例如，通过推行电子化管理、优化审批流程等措施，可以缩短审批时间，提高办理效率，进而减少企业的等待时间和经济负担。</w:t>
      </w:r>
    </w:p>
    <w:p w14:paraId="527D0BF6">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（三）</w:t>
      </w:r>
      <w:r>
        <w:rPr>
          <w:rFonts w:ascii="宋体" w:hAnsi="宋体" w:eastAsia="宋体" w:cs="宋体"/>
          <w:color w:val="auto"/>
          <w:sz w:val="24"/>
          <w:szCs w:val="24"/>
          <w:lang w:val="zh-TW"/>
        </w:rPr>
        <w:t>增强产业园区竞争力：通过提升服务质量和效率，降低企业经营成本，产业园区可以增强其国际竞争力。这包括提高产业园区的整体品质和形象，为企业提供更加有吸引力的经营场所，以及形成良好的产业园区营商环境建设合力。</w:t>
      </w:r>
    </w:p>
    <w:p w14:paraId="2240C2A5">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（四）</w:t>
      </w:r>
      <w:r>
        <w:rPr>
          <w:rFonts w:ascii="宋体" w:hAnsi="宋体" w:eastAsia="宋体" w:cs="宋体"/>
          <w:color w:val="auto"/>
          <w:sz w:val="24"/>
          <w:szCs w:val="24"/>
          <w:lang w:val="zh-TW"/>
        </w:rPr>
        <w:t>促进经济发展：优化营商环境有助于吸引更多投资，促进经济发展。通过实施本文件，可以加快产业结构优化升级和新旧动能转换，不断推动经济高质量发展，为区域经济发展注入新的活力。</w:t>
      </w:r>
    </w:p>
    <w:p w14:paraId="29780B76">
      <w:pPr>
        <w:framePr w:wrap="auto" w:vAnchor="margin" w:hAnchor="text" w:yAlign="inline"/>
        <w:adjustRightInd w:val="0"/>
        <w:spacing w:line="360" w:lineRule="auto"/>
        <w:ind w:firstLine="480" w:firstLineChars="200"/>
        <w:rPr>
          <w:rFonts w:ascii="宋体" w:hAnsi="宋体" w:eastAsia="宋体" w:cs="宋体"/>
          <w:color w:val="auto"/>
          <w:sz w:val="24"/>
          <w:szCs w:val="24"/>
          <w:lang w:val="zh-TW"/>
        </w:rPr>
      </w:pPr>
      <w:r>
        <w:rPr>
          <w:rFonts w:ascii="宋体" w:hAnsi="宋体" w:eastAsia="宋体" w:cs="宋体"/>
          <w:color w:val="auto"/>
          <w:sz w:val="24"/>
          <w:szCs w:val="24"/>
        </w:rPr>
        <w:t>（五）</w:t>
      </w:r>
      <w:r>
        <w:rPr>
          <w:rFonts w:hint="default" w:ascii="宋体" w:hAnsi="宋体" w:eastAsia="宋体" w:cs="宋体"/>
          <w:color w:val="auto"/>
          <w:sz w:val="24"/>
          <w:szCs w:val="24"/>
          <w:lang w:val="zh-TW"/>
        </w:rPr>
        <w:t>积累宝贵经验：</w:t>
      </w:r>
      <w:r>
        <w:rPr>
          <w:rFonts w:ascii="宋体" w:hAnsi="宋体" w:eastAsia="宋体" w:cs="宋体"/>
          <w:color w:val="auto"/>
          <w:sz w:val="24"/>
          <w:szCs w:val="24"/>
          <w:lang w:val="zh-TW"/>
        </w:rPr>
        <w:t>该</w:t>
      </w:r>
      <w:r>
        <w:rPr>
          <w:rFonts w:hint="default" w:ascii="宋体" w:hAnsi="宋体" w:eastAsia="宋体" w:cs="宋体"/>
          <w:color w:val="auto"/>
          <w:sz w:val="24"/>
          <w:szCs w:val="24"/>
          <w:lang w:val="zh-TW"/>
        </w:rPr>
        <w:t>标准的制定和实施过程将为未来相关国家标准的制定和修订提供宝贵经验和数据支持</w:t>
      </w:r>
      <w:r>
        <w:rPr>
          <w:rFonts w:ascii="宋体" w:hAnsi="宋体" w:eastAsia="宋体" w:cs="宋体"/>
          <w:color w:val="auto"/>
          <w:sz w:val="24"/>
          <w:szCs w:val="24"/>
          <w:lang w:val="zh-TW"/>
        </w:rPr>
        <w:t>。</w:t>
      </w:r>
    </w:p>
    <w:sectPr>
      <w:headerReference r:id="rId3" w:type="default"/>
      <w:footerReference r:id="rId4" w:type="default"/>
      <w:pgSz w:w="11900" w:h="16840"/>
      <w:pgMar w:top="1440" w:right="1800" w:bottom="1440" w:left="180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Neue">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4F96D">
    <w:pPr>
      <w:pStyle w:val="7"/>
      <w:framePr w:wrap="auto" w:vAnchor="margin" w:hAnchor="text" w:yAlign="inline"/>
      <w:tabs>
        <w:tab w:val="right" w:pos="8280"/>
        <w:tab w:val="clear" w:pos="8306"/>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56BF7">
    <w:pPr>
      <w:pStyle w:val="18"/>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425" w:firstLine="0"/>
      </w:pPr>
      <w:rPr>
        <w:rFonts w:hint="eastAsia" w:ascii="黑体" w:hAnsi="Times New Roman" w:eastAsia="黑体" w:cs="Times New Roman"/>
        <w:b w:val="0"/>
        <w:bCs w:val="0"/>
        <w:i w:val="0"/>
        <w:iCs w:val="0"/>
        <w:caps w:val="0"/>
        <w:strike w:val="0"/>
        <w:dstrike w:val="0"/>
        <w:vanish w:val="0"/>
        <w:color w:val="800000"/>
        <w:spacing w:val="0"/>
        <w:kern w:val="0"/>
        <w:position w:val="0"/>
        <w:sz w:val="21"/>
        <w:szCs w:val="21"/>
        <w:u w:val="none"/>
        <w:vertAlign w:val="baseline"/>
      </w:rPr>
    </w:lvl>
    <w:lvl w:ilvl="2" w:tentative="0">
      <w:start w:val="1"/>
      <w:numFmt w:val="decimal"/>
      <w:suff w:val="nothing"/>
      <w:lvlText w:val="%1.%2.%3　"/>
      <w:lvlJc w:val="left"/>
      <w:pPr>
        <w:ind w:left="22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227DD5AD"/>
    <w:multiLevelType w:val="singleLevel"/>
    <w:tmpl w:val="227DD5AD"/>
    <w:lvl w:ilvl="0" w:tentative="0">
      <w:start w:val="1"/>
      <w:numFmt w:val="chineseCounting"/>
      <w:pStyle w:val="2"/>
      <w:suff w:val="nothing"/>
      <w:lvlText w:val="%1、"/>
      <w:lvlJc w:val="left"/>
      <w:pPr>
        <w:ind w:left="0" w:firstLine="420"/>
      </w:pPr>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1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wM2EwNjA4MmQ0NGVlM2NjYzViMTBiMWNjODFjNTgifQ=="/>
  </w:docVars>
  <w:rsids>
    <w:rsidRoot w:val="77590DAC"/>
    <w:rsid w:val="000804B9"/>
    <w:rsid w:val="00292ADF"/>
    <w:rsid w:val="002A3AE6"/>
    <w:rsid w:val="003B57D0"/>
    <w:rsid w:val="003F7A84"/>
    <w:rsid w:val="00462643"/>
    <w:rsid w:val="006878AC"/>
    <w:rsid w:val="00707177"/>
    <w:rsid w:val="00723D36"/>
    <w:rsid w:val="008E0A12"/>
    <w:rsid w:val="00A75546"/>
    <w:rsid w:val="00BD1912"/>
    <w:rsid w:val="00DC31A6"/>
    <w:rsid w:val="00EA033D"/>
    <w:rsid w:val="00F41FA2"/>
    <w:rsid w:val="02EE5F7C"/>
    <w:rsid w:val="0389297A"/>
    <w:rsid w:val="051C7149"/>
    <w:rsid w:val="17C42743"/>
    <w:rsid w:val="19452DEE"/>
    <w:rsid w:val="19C54C55"/>
    <w:rsid w:val="27160EE4"/>
    <w:rsid w:val="2EB54B65"/>
    <w:rsid w:val="310E66FF"/>
    <w:rsid w:val="34D31A7F"/>
    <w:rsid w:val="35EB2246"/>
    <w:rsid w:val="362973EA"/>
    <w:rsid w:val="38B47396"/>
    <w:rsid w:val="3995213C"/>
    <w:rsid w:val="3C4D6CFE"/>
    <w:rsid w:val="3D163594"/>
    <w:rsid w:val="3F351971"/>
    <w:rsid w:val="45CA7F72"/>
    <w:rsid w:val="46193BA1"/>
    <w:rsid w:val="473D540E"/>
    <w:rsid w:val="4CDF14F9"/>
    <w:rsid w:val="51DE4358"/>
    <w:rsid w:val="538B5FEF"/>
    <w:rsid w:val="57CF08DA"/>
    <w:rsid w:val="597E4BF2"/>
    <w:rsid w:val="59E62537"/>
    <w:rsid w:val="5CE335C4"/>
    <w:rsid w:val="5F4F24EC"/>
    <w:rsid w:val="5FEB2206"/>
    <w:rsid w:val="627E09EE"/>
    <w:rsid w:val="64684CD1"/>
    <w:rsid w:val="685C492E"/>
    <w:rsid w:val="6B287C40"/>
    <w:rsid w:val="6C1F5711"/>
    <w:rsid w:val="6F166996"/>
    <w:rsid w:val="71701FFC"/>
    <w:rsid w:val="73B01345"/>
    <w:rsid w:val="7471740A"/>
    <w:rsid w:val="77590DAC"/>
    <w:rsid w:val="7C3C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2">
    <w:name w:val="heading 1"/>
    <w:basedOn w:val="1"/>
    <w:next w:val="1"/>
    <w:link w:val="13"/>
    <w:qFormat/>
    <w:uiPriority w:val="0"/>
    <w:pPr>
      <w:framePr w:wrap="around"/>
      <w:numPr>
        <w:ilvl w:val="0"/>
        <w:numId w:val="1"/>
      </w:numPr>
      <w:spacing w:beforeAutospacing="1" w:afterAutospacing="1"/>
      <w:jc w:val="left"/>
      <w:outlineLvl w:val="0"/>
    </w:pPr>
    <w:rPr>
      <w:rFonts w:ascii="宋体" w:hAnsi="宋体" w:eastAsia="黑体" w:cs="Times New Roman"/>
      <w:b/>
      <w:bCs/>
      <w:kern w:val="44"/>
      <w:sz w:val="32"/>
      <w:szCs w:val="48"/>
    </w:rPr>
  </w:style>
  <w:style w:type="paragraph" w:styleId="3">
    <w:name w:val="heading 2"/>
    <w:basedOn w:val="1"/>
    <w:next w:val="1"/>
    <w:link w:val="14"/>
    <w:semiHidden/>
    <w:unhideWhenUsed/>
    <w:qFormat/>
    <w:uiPriority w:val="0"/>
    <w:pPr>
      <w:keepNext/>
      <w:keepLines/>
      <w:framePr w:wrap="around"/>
      <w:spacing w:before="260" w:after="260" w:line="416" w:lineRule="auto"/>
      <w:outlineLvl w:val="1"/>
    </w:pPr>
    <w:rPr>
      <w:rFonts w:ascii="Times New Roman" w:hAnsi="Times New Roman" w:eastAsia="微软雅黑" w:cstheme="majorBidi"/>
      <w:b/>
      <w:bCs/>
      <w:sz w:val="28"/>
      <w:szCs w:val="32"/>
    </w:rPr>
  </w:style>
  <w:style w:type="paragraph" w:styleId="4">
    <w:name w:val="heading 3"/>
    <w:basedOn w:val="1"/>
    <w:next w:val="1"/>
    <w:semiHidden/>
    <w:unhideWhenUsed/>
    <w:qFormat/>
    <w:uiPriority w:val="0"/>
    <w:pPr>
      <w:framePr w:wrap="around"/>
      <w:spacing w:beforeAutospacing="1" w:afterAutospacing="1"/>
      <w:jc w:val="left"/>
      <w:outlineLvl w:val="2"/>
    </w:pPr>
    <w:rPr>
      <w:rFonts w:ascii="Times New Roman" w:hAnsi="Times New Roman" w:eastAsia="黑体" w:cs="Times New Roman"/>
      <w:b/>
      <w:kern w:val="0"/>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qFormat/>
    <w:uiPriority w:val="0"/>
    <w:pPr>
      <w:framePr w:wrap="around"/>
      <w:jc w:val="left"/>
    </w:pPr>
  </w:style>
  <w:style w:type="paragraph" w:styleId="6">
    <w:name w:val="Body Text"/>
    <w:next w:val="1"/>
    <w:qFormat/>
    <w:uiPriority w:val="0"/>
    <w:pPr>
      <w:widowControl w:val="0"/>
      <w:spacing w:after="120"/>
      <w:jc w:val="both"/>
    </w:pPr>
    <w:rPr>
      <w:rFonts w:ascii="Calibri" w:hAnsi="Calibri" w:eastAsia="仿宋_GB2312" w:cs="Times New Roman"/>
      <w:kern w:val="2"/>
      <w:sz w:val="28"/>
      <w:szCs w:val="24"/>
      <w:lang w:val="en-US" w:eastAsia="zh-CN" w:bidi="ar-SA"/>
    </w:rPr>
  </w:style>
  <w:style w:type="paragraph" w:styleId="7">
    <w:name w:val="footer"/>
    <w:link w:val="26"/>
    <w:qFormat/>
    <w:uiPriority w:val="99"/>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 w:type="paragraph" w:styleId="8">
    <w:name w:val="header"/>
    <w:basedOn w:val="1"/>
    <w:link w:val="25"/>
    <w:qFormat/>
    <w:uiPriority w:val="99"/>
    <w:pPr>
      <w:framePr w:wrap="around"/>
      <w:tabs>
        <w:tab w:val="center" w:pos="4153"/>
        <w:tab w:val="right" w:pos="8306"/>
      </w:tabs>
      <w:snapToGrid w:val="0"/>
      <w:jc w:val="center"/>
    </w:pPr>
    <w:rPr>
      <w:sz w:val="18"/>
      <w:szCs w:val="18"/>
    </w:rPr>
  </w:style>
  <w:style w:type="paragraph" w:styleId="9">
    <w:name w:val="annotation subject"/>
    <w:basedOn w:val="5"/>
    <w:next w:val="5"/>
    <w:link w:val="24"/>
    <w:uiPriority w:val="0"/>
    <w:pPr>
      <w:framePr w:wrap="around"/>
    </w:pPr>
    <w:rPr>
      <w:b/>
      <w:bCs/>
    </w:rPr>
  </w:style>
  <w:style w:type="character" w:styleId="12">
    <w:name w:val="annotation reference"/>
    <w:basedOn w:val="11"/>
    <w:qFormat/>
    <w:uiPriority w:val="0"/>
    <w:rPr>
      <w:sz w:val="21"/>
      <w:szCs w:val="21"/>
    </w:rPr>
  </w:style>
  <w:style w:type="character" w:customStyle="1" w:styleId="13">
    <w:name w:val="标题 1 字符"/>
    <w:basedOn w:val="11"/>
    <w:link w:val="2"/>
    <w:qFormat/>
    <w:uiPriority w:val="9"/>
    <w:rPr>
      <w:rFonts w:eastAsia="黑体" w:asciiTheme="minorHAnsi" w:hAnsiTheme="minorHAnsi" w:cstheme="minorBidi"/>
      <w:b/>
      <w:bCs/>
      <w:kern w:val="44"/>
      <w:sz w:val="36"/>
      <w:szCs w:val="44"/>
    </w:rPr>
  </w:style>
  <w:style w:type="character" w:customStyle="1" w:styleId="14">
    <w:name w:val="标题 2 字符"/>
    <w:basedOn w:val="11"/>
    <w:link w:val="3"/>
    <w:qFormat/>
    <w:uiPriority w:val="9"/>
    <w:rPr>
      <w:rFonts w:ascii="Times New Roman" w:hAnsi="Times New Roman" w:eastAsia="微软雅黑" w:cstheme="majorBidi"/>
      <w:b/>
      <w:bCs/>
      <w:sz w:val="28"/>
      <w:szCs w:val="32"/>
    </w:rPr>
  </w:style>
  <w:style w:type="paragraph" w:customStyle="1" w:styleId="15">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6">
    <w:name w:val="章标题"/>
    <w:next w:val="17"/>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19">
    <w:name w:val="标准文件_一级条标题"/>
    <w:basedOn w:val="20"/>
    <w:next w:val="21"/>
    <w:qFormat/>
    <w:uiPriority w:val="0"/>
    <w:pPr>
      <w:numPr>
        <w:ilvl w:val="2"/>
      </w:numPr>
      <w:spacing w:beforeLines="50" w:afterLines="50"/>
      <w:outlineLvl w:val="1"/>
    </w:pPr>
  </w:style>
  <w:style w:type="paragraph" w:customStyle="1" w:styleId="20">
    <w:name w:val="标准文件_章标题"/>
    <w:next w:val="21"/>
    <w:qFormat/>
    <w:uiPriority w:val="0"/>
    <w:pPr>
      <w:numPr>
        <w:ilvl w:val="1"/>
        <w:numId w:val="3"/>
      </w:numPr>
      <w:spacing w:beforeLines="100" w:afterLines="100"/>
      <w:jc w:val="both"/>
      <w:outlineLvl w:val="0"/>
    </w:pPr>
    <w:rPr>
      <w:rFonts w:ascii="黑体" w:hAnsi="Times New Roman" w:eastAsia="黑体" w:cs="Times New Roman"/>
      <w:sz w:val="21"/>
      <w:lang w:val="en-US" w:eastAsia="zh-CN" w:bidi="ar-SA"/>
    </w:rPr>
  </w:style>
  <w:style w:type="paragraph" w:customStyle="1" w:styleId="2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
    <w:name w:val="修订1"/>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23">
    <w:name w:val="批注文字 字符"/>
    <w:basedOn w:val="11"/>
    <w:link w:val="5"/>
    <w:qFormat/>
    <w:uiPriority w:val="0"/>
    <w:rPr>
      <w:rFonts w:ascii="Arial Unicode MS" w:hAnsi="Arial Unicode MS" w:eastAsia="Times New Roman" w:cs="Arial Unicode MS"/>
      <w:color w:val="000000"/>
      <w:kern w:val="2"/>
      <w:sz w:val="21"/>
      <w:szCs w:val="21"/>
      <w:u w:color="000000"/>
    </w:rPr>
  </w:style>
  <w:style w:type="character" w:customStyle="1" w:styleId="24">
    <w:name w:val="批注主题 字符"/>
    <w:basedOn w:val="23"/>
    <w:link w:val="9"/>
    <w:qFormat/>
    <w:uiPriority w:val="0"/>
    <w:rPr>
      <w:rFonts w:ascii="Arial Unicode MS" w:hAnsi="Arial Unicode MS" w:eastAsia="Times New Roman" w:cs="Arial Unicode MS"/>
      <w:b/>
      <w:bCs/>
      <w:color w:val="000000"/>
      <w:kern w:val="2"/>
      <w:sz w:val="21"/>
      <w:szCs w:val="21"/>
      <w:u w:color="000000"/>
    </w:rPr>
  </w:style>
  <w:style w:type="character" w:customStyle="1" w:styleId="25">
    <w:name w:val="页眉 字符"/>
    <w:basedOn w:val="11"/>
    <w:link w:val="8"/>
    <w:qFormat/>
    <w:uiPriority w:val="99"/>
    <w:rPr>
      <w:rFonts w:ascii="Arial Unicode MS" w:hAnsi="Arial Unicode MS" w:eastAsia="Times New Roman" w:cs="Arial Unicode MS"/>
      <w:color w:val="000000"/>
      <w:kern w:val="2"/>
      <w:sz w:val="18"/>
      <w:szCs w:val="18"/>
      <w:u w:color="000000"/>
    </w:rPr>
  </w:style>
  <w:style w:type="character" w:customStyle="1" w:styleId="26">
    <w:name w:val="页脚 字符"/>
    <w:basedOn w:val="11"/>
    <w:link w:val="7"/>
    <w:uiPriority w:val="99"/>
    <w:rPr>
      <w:rFonts w:eastAsia="Arial Unicode MS" w:cs="Arial Unicode MS"/>
      <w:color w:val="000000"/>
      <w:kern w:val="2"/>
      <w:sz w:val="18"/>
      <w:szCs w:val="18"/>
      <w:u w:color="000000"/>
    </w:rPr>
  </w:style>
  <w:style w:type="paragraph" w:customStyle="1" w:styleId="27">
    <w:name w:val="Revision"/>
    <w:hidden/>
    <w:unhideWhenUsed/>
    <w:qFormat/>
    <w:uiPriority w:val="99"/>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3444</Words>
  <Characters>3519</Characters>
  <Lines>76</Lines>
  <Paragraphs>70</Paragraphs>
  <TotalTime>3</TotalTime>
  <ScaleCrop>false</ScaleCrop>
  <LinksUpToDate>false</LinksUpToDate>
  <CharactersWithSpaces>3543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2025-06-10T09:18:00Z</dcterms:created>
  <dc:creator>王一一</dc:creator>
  <cp:lastModifiedBy>紫嫣</cp:lastModifiedBy>
  <dcterms:modified xsi:type="dcterms:W3CDTF">2025-06-10T09:25:50Z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7CD3B1F0F63F485A88C714E4C3738111_13</vt:lpwstr>
  </property>
  <property fmtid="{D5CDD505-2E9C-101B-9397-08002B2CF9AE}" pid="4" name="KSOTemplateDocerSaveRecord">
    <vt:lpwstr>eyJoZGlkIjoiOTJlMDBlOWJiMzljNTUxODg0YTk2M2RjZjdjOTZjNzciLCJ1c2VySWQiOiIzNDU3NTYyMTIifQ==</vt:lpwstr>
  </property>
</Properties>
</file>