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1E8A0" w14:textId="77777777" w:rsidR="001302AE" w:rsidRDefault="001302AE" w:rsidP="001302AE">
      <w:pPr>
        <w:ind w:right="-58"/>
        <w:jc w:val="both"/>
        <w:rPr>
          <w:rFonts w:ascii="黑体" w:eastAsia="黑体" w:hAnsi="黑体" w:hint="eastAsia"/>
          <w:sz w:val="32"/>
          <w:szCs w:val="32"/>
        </w:rPr>
      </w:pPr>
      <w:bookmarkStart w:id="0" w:name="OLE_LINK9"/>
      <w:bookmarkStart w:id="1" w:name="OLE_LINK10"/>
      <w:bookmarkStart w:id="2" w:name="_Hlk199320715"/>
      <w:r>
        <w:rPr>
          <w:rFonts w:ascii="黑体" w:eastAsia="黑体" w:hAnsi="黑体" w:hint="eastAsia"/>
          <w:sz w:val="32"/>
          <w:szCs w:val="32"/>
        </w:rPr>
        <w:t>附件1</w:t>
      </w:r>
    </w:p>
    <w:p w14:paraId="42962182" w14:textId="77777777" w:rsidR="001302AE" w:rsidRPr="00FB03E0" w:rsidRDefault="001302AE" w:rsidP="001302AE">
      <w:pPr>
        <w:rPr>
          <w:rFonts w:ascii="宋体" w:cs="宋体"/>
          <w:sz w:val="28"/>
          <w:szCs w:val="28"/>
        </w:rPr>
      </w:pPr>
    </w:p>
    <w:p w14:paraId="14905AD6" w14:textId="77777777" w:rsidR="001302AE" w:rsidRPr="00F22A14" w:rsidRDefault="001302AE" w:rsidP="001302AE">
      <w:pPr>
        <w:spacing w:line="560" w:lineRule="exact"/>
        <w:jc w:val="center"/>
        <w:rPr>
          <w:rFonts w:ascii="方正小标宋简体" w:eastAsia="方正小标宋简体"/>
          <w:sz w:val="44"/>
          <w:szCs w:val="44"/>
        </w:rPr>
      </w:pPr>
      <w:r w:rsidRPr="00F22A14">
        <w:rPr>
          <w:rFonts w:ascii="方正小标宋简体" w:eastAsia="方正小标宋简体" w:cs="宋体" w:hint="eastAsia"/>
          <w:sz w:val="44"/>
          <w:szCs w:val="44"/>
        </w:rPr>
        <w:t>中国国际贸易促进委员会商业行业委员会</w:t>
      </w:r>
    </w:p>
    <w:p w14:paraId="00F978B8" w14:textId="77777777" w:rsidR="001302AE" w:rsidRDefault="001302AE" w:rsidP="001302AE">
      <w:pPr>
        <w:spacing w:line="560" w:lineRule="exact"/>
        <w:jc w:val="center"/>
        <w:rPr>
          <w:rFonts w:ascii="方正小标宋简体" w:eastAsia="方正小标宋简体"/>
          <w:sz w:val="44"/>
          <w:szCs w:val="44"/>
        </w:rPr>
      </w:pPr>
      <w:r w:rsidRPr="00F22A14">
        <w:rPr>
          <w:rFonts w:ascii="方正小标宋简体" w:eastAsia="方正小标宋简体" w:cs="宋体" w:hint="eastAsia"/>
          <w:sz w:val="44"/>
          <w:szCs w:val="44"/>
        </w:rPr>
        <w:t>专业标准化技术委员会管理办法（试行）</w:t>
      </w:r>
    </w:p>
    <w:p w14:paraId="7D98EE6D" w14:textId="77777777" w:rsidR="001302AE" w:rsidRPr="00F22A14" w:rsidRDefault="001302AE" w:rsidP="001302AE">
      <w:pPr>
        <w:jc w:val="center"/>
        <w:rPr>
          <w:rFonts w:ascii="仿宋_GB2312" w:eastAsia="仿宋_GB2312"/>
          <w:sz w:val="32"/>
          <w:szCs w:val="32"/>
        </w:rPr>
      </w:pPr>
    </w:p>
    <w:p w14:paraId="6EFFC5A8" w14:textId="77777777" w:rsidR="001302AE" w:rsidRPr="00F22A14" w:rsidRDefault="001302AE" w:rsidP="001302AE">
      <w:pPr>
        <w:jc w:val="center"/>
        <w:rPr>
          <w:rFonts w:ascii="仿宋_GB2312" w:eastAsia="仿宋_GB2312" w:cs="宋体"/>
          <w:b/>
          <w:bCs/>
          <w:sz w:val="32"/>
          <w:szCs w:val="32"/>
        </w:rPr>
      </w:pPr>
      <w:r w:rsidRPr="00F22A14">
        <w:rPr>
          <w:rFonts w:ascii="仿宋_GB2312" w:eastAsia="仿宋_GB2312" w:hAnsi="宋体" w:cs="宋体" w:hint="eastAsia"/>
          <w:b/>
          <w:bCs/>
          <w:sz w:val="32"/>
          <w:szCs w:val="32"/>
        </w:rPr>
        <w:t>第一章  总则</w:t>
      </w:r>
    </w:p>
    <w:p w14:paraId="654E9F5C"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第一条  为加强中国国际贸易促进委员会商业行业委员会（以下简称商业贸促会）专业标准化技术委员会（以下简称标委会）的管理，科学公正开展团体标准化工作，提高团体标准制定质量，根据《中华人民共和国标准化法》等有关规定，制定本办法。</w:t>
      </w:r>
    </w:p>
    <w:p w14:paraId="14448AD4"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第二条  标委会是商业贸促会批准成立，在某一专业领域内从事团体标准起草和技术审查等标准化工作的非法人技术组织。本办法适用于标委会的构成、组建、换届、调整和监督管理。</w:t>
      </w:r>
    </w:p>
    <w:p w14:paraId="248EAAE7"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第三条  商业贸促会对标委会实行统一规划和管理，可根据工作需要对相关标委会进行业务指导。</w:t>
      </w:r>
    </w:p>
    <w:p w14:paraId="621975DB" w14:textId="7F0410E1"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第四条  商业贸促会的管理和指导工作，应确保标委会公平、公开、公正的开展工作。</w:t>
      </w:r>
    </w:p>
    <w:p w14:paraId="05CB4C79" w14:textId="77777777" w:rsidR="001302AE" w:rsidRPr="00F22A14" w:rsidRDefault="001302AE" w:rsidP="001302AE">
      <w:pPr>
        <w:jc w:val="center"/>
        <w:rPr>
          <w:rFonts w:ascii="仿宋_GB2312" w:eastAsia="仿宋_GB2312" w:cs="宋体"/>
          <w:b/>
          <w:bCs/>
          <w:sz w:val="32"/>
          <w:szCs w:val="32"/>
        </w:rPr>
      </w:pPr>
      <w:r w:rsidRPr="00F22A14">
        <w:rPr>
          <w:rFonts w:ascii="仿宋_GB2312" w:eastAsia="仿宋_GB2312" w:hAnsi="宋体" w:cs="宋体" w:hint="eastAsia"/>
          <w:b/>
          <w:bCs/>
          <w:sz w:val="32"/>
          <w:szCs w:val="32"/>
        </w:rPr>
        <w:t>第二章 职责划分</w:t>
      </w:r>
    </w:p>
    <w:p w14:paraId="63415F60"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第五条  商业贸促会在标委会管理工作中具有以下职责：</w:t>
      </w:r>
    </w:p>
    <w:p w14:paraId="5DF4C029"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（一）组织实施标委会管理相关的政策和制度；</w:t>
      </w:r>
    </w:p>
    <w:p w14:paraId="117CE061"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（二）规划标委会整体建设和布局；</w:t>
      </w:r>
    </w:p>
    <w:p w14:paraId="7EB8A9E6"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lastRenderedPageBreak/>
        <w:t>（三）协调和决定标委会的组建、换届、调整、暂停、恢复、撤销等事项；</w:t>
      </w:r>
    </w:p>
    <w:p w14:paraId="0D5AD365"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（四）组织标委会相关人员的培训；</w:t>
      </w:r>
    </w:p>
    <w:p w14:paraId="706C8076"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（五）监督检查标委会的工作，组织对标委会的考核评估；</w:t>
      </w:r>
    </w:p>
    <w:p w14:paraId="0D89269B"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（六）负责对标委会考核并做出奖励和惩罚决定</w:t>
      </w:r>
      <w:r>
        <w:rPr>
          <w:rFonts w:ascii="仿宋_GB2312" w:eastAsia="仿宋_GB2312" w:hAnsi="宋体" w:cs="宋体" w:hint="eastAsia"/>
          <w:sz w:val="32"/>
          <w:szCs w:val="32"/>
        </w:rPr>
        <w:t>；</w:t>
      </w:r>
    </w:p>
    <w:p w14:paraId="619AC5F9"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（七）其他与标委会管理有关的职责。</w:t>
      </w:r>
    </w:p>
    <w:p w14:paraId="09A9CE1B"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第六条  标委会应当科学合理、公开公正、规范透明地开展工作，在本专业领域内承担以下工作职责：</w:t>
      </w:r>
    </w:p>
    <w:p w14:paraId="5254A3D2"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（一）提出本专业领域标准化工作的政策和措施建议；</w:t>
      </w:r>
    </w:p>
    <w:p w14:paraId="141D8A1B"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（二）编制本专业领域团体标准体系，根据市场需求，提出本专业领域制修订团体标准项目建议；</w:t>
      </w:r>
    </w:p>
    <w:p w14:paraId="4C47E6FA"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（三）开展团体标准的起草、征求意见、技术审查、复审及团体标准外文版的组织翻译和审查工作；</w:t>
      </w:r>
    </w:p>
    <w:p w14:paraId="7D74F55C"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（四）开展本专业领域团体标准的宣贯和标准起草人员的培训工作；</w:t>
      </w:r>
    </w:p>
    <w:p w14:paraId="0AF5C3E2"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（五）受商业贸促会委托，承担归口团体标准的解释工作；</w:t>
      </w:r>
    </w:p>
    <w:p w14:paraId="11687984"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（六）开展标准实施情况的评估、研究分析；</w:t>
      </w:r>
    </w:p>
    <w:p w14:paraId="700A6A35"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（七）组织开展本领域国内外标准一致性比对分析，跟踪、研究相关领域国际标准化的发展趋势和工作动态；</w:t>
      </w:r>
    </w:p>
    <w:p w14:paraId="4A45B464" w14:textId="225A588E"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（八）承担商业贸促会交办的其他标准化工作。</w:t>
      </w:r>
    </w:p>
    <w:p w14:paraId="6F263CC9" w14:textId="77777777" w:rsidR="001302AE" w:rsidRPr="00F22A14" w:rsidRDefault="001302AE" w:rsidP="001302AE">
      <w:pPr>
        <w:jc w:val="center"/>
        <w:rPr>
          <w:rFonts w:ascii="仿宋_GB2312" w:eastAsia="仿宋_GB2312" w:cs="宋体"/>
          <w:b/>
          <w:bCs/>
          <w:sz w:val="32"/>
          <w:szCs w:val="32"/>
        </w:rPr>
      </w:pPr>
      <w:r w:rsidRPr="00F22A14">
        <w:rPr>
          <w:rFonts w:ascii="仿宋_GB2312" w:eastAsia="仿宋_GB2312" w:hAnsi="宋体" w:cs="宋体" w:hint="eastAsia"/>
          <w:b/>
          <w:bCs/>
          <w:sz w:val="32"/>
          <w:szCs w:val="32"/>
        </w:rPr>
        <w:t>第三章 组建</w:t>
      </w:r>
    </w:p>
    <w:p w14:paraId="28F6F0C5"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第七条  组建标委会应符合以下原则：</w:t>
      </w:r>
    </w:p>
    <w:p w14:paraId="247F71E3"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lastRenderedPageBreak/>
        <w:t>（一）商业贸促会标准化工作发展方向；</w:t>
      </w:r>
    </w:p>
    <w:p w14:paraId="4840CD68"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（二）社会发展、市场和创新需求原则；</w:t>
      </w:r>
    </w:p>
    <w:p w14:paraId="7914F49B" w14:textId="77777777" w:rsidR="001302AE" w:rsidRPr="00F22A14" w:rsidRDefault="001302AE" w:rsidP="009F5F20">
      <w:pPr>
        <w:ind w:firstLineChars="200" w:firstLine="640"/>
        <w:jc w:val="both"/>
        <w:rPr>
          <w:rFonts w:ascii="仿宋_GB2312" w:eastAsia="仿宋_GB2312" w:cs="宋体"/>
          <w:sz w:val="32"/>
          <w:szCs w:val="32"/>
        </w:rPr>
      </w:pPr>
      <w:r w:rsidRPr="00F22A14">
        <w:rPr>
          <w:rFonts w:ascii="仿宋_GB2312" w:eastAsia="仿宋_GB2312" w:hAnsi="宋体" w:cs="宋体" w:hint="eastAsia"/>
          <w:sz w:val="32"/>
          <w:szCs w:val="32"/>
        </w:rPr>
        <w:t>（三）无交叉重叠原则；</w:t>
      </w:r>
    </w:p>
    <w:p w14:paraId="33F8D8BE" w14:textId="77777777" w:rsidR="001302AE" w:rsidRPr="00F22A14" w:rsidRDefault="001302AE" w:rsidP="009F5F20">
      <w:pPr>
        <w:ind w:firstLineChars="200" w:firstLine="640"/>
        <w:jc w:val="both"/>
        <w:rPr>
          <w:rFonts w:ascii="仿宋_GB2312" w:eastAsia="仿宋_GB2312" w:cs="宋体"/>
          <w:sz w:val="32"/>
          <w:szCs w:val="32"/>
        </w:rPr>
      </w:pPr>
      <w:r w:rsidRPr="00F22A14">
        <w:rPr>
          <w:rFonts w:ascii="仿宋_GB2312" w:eastAsia="仿宋_GB2312" w:hAnsi="宋体" w:cs="宋体" w:hint="eastAsia"/>
          <w:sz w:val="32"/>
          <w:szCs w:val="32"/>
        </w:rPr>
        <w:t>（四）国际、国家对口优先原则。</w:t>
      </w:r>
    </w:p>
    <w:p w14:paraId="6C9FC35E" w14:textId="77777777" w:rsidR="001302AE"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第八条  承担标委会或标委会秘书处的单位应具备如下条件：</w:t>
      </w:r>
    </w:p>
    <w:p w14:paraId="4816DEE4" w14:textId="77777777" w:rsidR="001302AE"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（一）有较高的行业知名度和影响力；</w:t>
      </w:r>
    </w:p>
    <w:p w14:paraId="3071A07A" w14:textId="77777777" w:rsidR="001302AE"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（二）有较强的技术实力；</w:t>
      </w:r>
    </w:p>
    <w:p w14:paraId="12264562" w14:textId="77777777" w:rsidR="001302AE"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（三）为秘书处工作配备2-3名所必须的标准化技术人才和相关的管理人员；</w:t>
      </w:r>
    </w:p>
    <w:p w14:paraId="61408B01" w14:textId="77777777" w:rsidR="001302AE"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（四)为秘书处开展工作提供必要的资金保障，用于举办或参与国内外标准化活动，制修订标准，秘书处日常运行等</w:t>
      </w:r>
      <w:r>
        <w:rPr>
          <w:rFonts w:ascii="仿宋_GB2312" w:eastAsia="仿宋_GB2312" w:hAnsi="宋体" w:cs="宋体" w:hint="eastAsia"/>
          <w:sz w:val="32"/>
          <w:szCs w:val="32"/>
        </w:rPr>
        <w:t>；</w:t>
      </w:r>
    </w:p>
    <w:p w14:paraId="04218D5E"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（五）为秘书处开展工作提供所必须的固定办公场所、办公设备等。</w:t>
      </w:r>
    </w:p>
    <w:p w14:paraId="1639071F"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第九条  鼓励有实力的行业领头企业承担或参与标委会秘书处工作。</w:t>
      </w:r>
    </w:p>
    <w:p w14:paraId="24D2FE0A"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第十条  相关单位可向商业贸促会提出筹建标委会申请并填报《中国贸促会商业行业委员会专业标准化技术委员会筹建申请书》</w:t>
      </w:r>
    </w:p>
    <w:p w14:paraId="4D688DF0"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 xml:space="preserve">商业贸促会对申报单位的筹建申请进行审核，并最终以文件通知形式批复筹建。商业贸促会也可根据需要指定有关单位筹建相关标委会。 </w:t>
      </w:r>
    </w:p>
    <w:p w14:paraId="3F1A14E4" w14:textId="77777777" w:rsidR="001302AE" w:rsidRPr="00F22A14" w:rsidRDefault="001302AE" w:rsidP="009F5F20">
      <w:pPr>
        <w:ind w:firstLineChars="200" w:firstLine="640"/>
        <w:jc w:val="both"/>
        <w:rPr>
          <w:rFonts w:ascii="仿宋_GB2312" w:eastAsia="仿宋_GB2312" w:cs="宋体"/>
          <w:sz w:val="32"/>
          <w:szCs w:val="32"/>
        </w:rPr>
      </w:pPr>
      <w:r w:rsidRPr="00F22A14">
        <w:rPr>
          <w:rFonts w:ascii="仿宋_GB2312" w:eastAsia="仿宋_GB2312" w:hAnsi="宋体" w:cs="宋体" w:hint="eastAsia"/>
          <w:sz w:val="32"/>
          <w:szCs w:val="32"/>
        </w:rPr>
        <w:lastRenderedPageBreak/>
        <w:t>第十一条  根据商业贸促会关于筹建标委会批文，标委会筹建单位应积极开展征集委员、起草标委会工作文件等工作，并组织填写《中国贸促会商业行业委员会专业标准化技术委员会登记表》和《中国贸促会商业行业委员会专业标准化技术委员会委员登记表》，</w:t>
      </w:r>
      <w:proofErr w:type="gramStart"/>
      <w:r w:rsidRPr="00F22A14">
        <w:rPr>
          <w:rFonts w:ascii="仿宋_GB2312" w:eastAsia="仿宋_GB2312" w:hAnsi="宋体" w:cs="宋体" w:hint="eastAsia"/>
          <w:sz w:val="32"/>
          <w:szCs w:val="32"/>
        </w:rPr>
        <w:t>报商业</w:t>
      </w:r>
      <w:proofErr w:type="gramEnd"/>
      <w:r w:rsidRPr="00F22A14">
        <w:rPr>
          <w:rFonts w:ascii="仿宋_GB2312" w:eastAsia="仿宋_GB2312" w:hAnsi="宋体" w:cs="宋体" w:hint="eastAsia"/>
          <w:sz w:val="32"/>
          <w:szCs w:val="32"/>
        </w:rPr>
        <w:t>贸促会审批。</w:t>
      </w:r>
    </w:p>
    <w:p w14:paraId="66A04D76" w14:textId="77777777" w:rsidR="001302AE" w:rsidRDefault="001302AE" w:rsidP="009F5F20">
      <w:pPr>
        <w:ind w:firstLineChars="200" w:firstLine="640"/>
        <w:jc w:val="both"/>
        <w:rPr>
          <w:rFonts w:ascii="仿宋_GB2312" w:eastAsia="仿宋_GB2312" w:cs="宋体"/>
          <w:sz w:val="32"/>
          <w:szCs w:val="32"/>
        </w:rPr>
      </w:pPr>
      <w:r w:rsidRPr="00F22A14">
        <w:rPr>
          <w:rFonts w:ascii="仿宋_GB2312" w:eastAsia="仿宋_GB2312" w:hAnsi="宋体" w:cs="宋体" w:hint="eastAsia"/>
          <w:sz w:val="32"/>
          <w:szCs w:val="32"/>
        </w:rPr>
        <w:t>标委会工作文件包括：</w:t>
      </w:r>
    </w:p>
    <w:p w14:paraId="2EC89184" w14:textId="77777777" w:rsidR="001302AE" w:rsidRDefault="001302AE" w:rsidP="009F5F20">
      <w:pPr>
        <w:ind w:firstLineChars="200" w:firstLine="640"/>
        <w:jc w:val="both"/>
        <w:rPr>
          <w:rFonts w:ascii="仿宋_GB2312" w:eastAsia="仿宋_GB2312" w:cs="宋体"/>
          <w:sz w:val="32"/>
          <w:szCs w:val="32"/>
        </w:rPr>
      </w:pPr>
      <w:r w:rsidRPr="00F22A14">
        <w:rPr>
          <w:rFonts w:ascii="仿宋_GB2312" w:eastAsia="仿宋_GB2312" w:hAnsi="宋体" w:cs="宋体" w:hint="eastAsia"/>
          <w:sz w:val="32"/>
          <w:szCs w:val="32"/>
        </w:rPr>
        <w:t>（一）标委会章程；</w:t>
      </w:r>
    </w:p>
    <w:p w14:paraId="5F835323" w14:textId="77777777" w:rsidR="001302AE" w:rsidRDefault="001302AE" w:rsidP="009F5F20">
      <w:pPr>
        <w:ind w:firstLineChars="200" w:firstLine="640"/>
        <w:jc w:val="both"/>
        <w:rPr>
          <w:rFonts w:ascii="仿宋_GB2312" w:eastAsia="仿宋_GB2312" w:cs="宋体"/>
          <w:sz w:val="32"/>
          <w:szCs w:val="32"/>
        </w:rPr>
      </w:pPr>
      <w:r w:rsidRPr="00F22A14">
        <w:rPr>
          <w:rFonts w:ascii="仿宋_GB2312" w:eastAsia="仿宋_GB2312" w:hAnsi="宋体" w:cs="宋体" w:hint="eastAsia"/>
          <w:sz w:val="32"/>
          <w:szCs w:val="32"/>
        </w:rPr>
        <w:t>（二）秘书处工作细则；</w:t>
      </w:r>
    </w:p>
    <w:p w14:paraId="4C194BEB" w14:textId="77777777" w:rsidR="001302AE" w:rsidRDefault="001302AE" w:rsidP="009F5F20">
      <w:pPr>
        <w:ind w:firstLineChars="200" w:firstLine="640"/>
        <w:jc w:val="both"/>
        <w:rPr>
          <w:rFonts w:ascii="仿宋_GB2312" w:eastAsia="仿宋_GB2312" w:cs="宋体"/>
          <w:sz w:val="32"/>
          <w:szCs w:val="32"/>
        </w:rPr>
      </w:pPr>
      <w:r w:rsidRPr="00F22A14">
        <w:rPr>
          <w:rFonts w:ascii="仿宋_GB2312" w:eastAsia="仿宋_GB2312" w:hAnsi="宋体" w:cs="宋体" w:hint="eastAsia"/>
          <w:sz w:val="32"/>
          <w:szCs w:val="32"/>
        </w:rPr>
        <w:t>（三）标委会工作计划。</w:t>
      </w:r>
    </w:p>
    <w:p w14:paraId="018246EC" w14:textId="77777777" w:rsidR="001302AE" w:rsidRPr="008F64D3" w:rsidRDefault="001302AE" w:rsidP="009F5F20">
      <w:pPr>
        <w:ind w:firstLineChars="200" w:firstLine="640"/>
        <w:jc w:val="both"/>
        <w:rPr>
          <w:rFonts w:ascii="仿宋_GB2312" w:eastAsia="仿宋_GB2312" w:cs="宋体"/>
          <w:sz w:val="32"/>
          <w:szCs w:val="32"/>
        </w:rPr>
      </w:pPr>
      <w:r w:rsidRPr="00F22A14">
        <w:rPr>
          <w:rFonts w:ascii="仿宋_GB2312" w:eastAsia="仿宋_GB2312" w:hAnsi="宋体" w:cs="宋体" w:hint="eastAsia"/>
          <w:sz w:val="32"/>
          <w:szCs w:val="32"/>
        </w:rPr>
        <w:t>筹建单位原则上应在3个月内完成标委会筹建工作。</w:t>
      </w:r>
    </w:p>
    <w:p w14:paraId="7DE78952" w14:textId="77777777" w:rsidR="001302AE" w:rsidRDefault="001302AE" w:rsidP="009F5F20">
      <w:pPr>
        <w:ind w:firstLineChars="200" w:firstLine="640"/>
        <w:jc w:val="both"/>
        <w:rPr>
          <w:rFonts w:ascii="仿宋_GB2312" w:eastAsia="仿宋_GB2312" w:cs="宋体"/>
          <w:sz w:val="32"/>
          <w:szCs w:val="32"/>
        </w:rPr>
      </w:pPr>
      <w:r w:rsidRPr="00F22A14">
        <w:rPr>
          <w:rFonts w:ascii="仿宋_GB2312" w:eastAsia="仿宋_GB2312" w:hAnsi="宋体" w:cs="宋体" w:hint="eastAsia"/>
          <w:sz w:val="32"/>
          <w:szCs w:val="32"/>
        </w:rPr>
        <w:t>第十二条  商业贸促会对标委会成立工作文件进行审核，通过审核的予以正式批复成立；对不合格的限期调整，调整后仍不合格的，更换秘书处承担单位直至撤销标委会的筹建。</w:t>
      </w:r>
    </w:p>
    <w:p w14:paraId="37EE2F20" w14:textId="67938B78" w:rsidR="001302AE" w:rsidRPr="009F5F20" w:rsidRDefault="001302AE" w:rsidP="009F5F20">
      <w:pPr>
        <w:ind w:firstLineChars="200" w:firstLine="640"/>
        <w:jc w:val="both"/>
        <w:rPr>
          <w:rFonts w:ascii="仿宋_GB2312" w:eastAsia="仿宋_GB2312" w:cs="宋体"/>
          <w:sz w:val="32"/>
          <w:szCs w:val="32"/>
        </w:rPr>
      </w:pPr>
      <w:r w:rsidRPr="00F22A14">
        <w:rPr>
          <w:rFonts w:ascii="仿宋_GB2312" w:eastAsia="仿宋_GB2312" w:hAnsi="宋体" w:cs="宋体" w:hint="eastAsia"/>
          <w:sz w:val="32"/>
          <w:szCs w:val="32"/>
        </w:rPr>
        <w:t>第十三条  商业贸促会对新成立的标委会在有关媒体上向社会公告。</w:t>
      </w:r>
    </w:p>
    <w:p w14:paraId="4792BEFC" w14:textId="77777777" w:rsidR="001302AE" w:rsidRPr="00F22A14" w:rsidRDefault="001302AE" w:rsidP="001302AE">
      <w:pPr>
        <w:jc w:val="center"/>
        <w:rPr>
          <w:rFonts w:ascii="仿宋_GB2312" w:eastAsia="仿宋_GB2312" w:cs="宋体"/>
          <w:b/>
          <w:bCs/>
          <w:sz w:val="32"/>
          <w:szCs w:val="32"/>
        </w:rPr>
      </w:pPr>
      <w:r w:rsidRPr="00F22A14">
        <w:rPr>
          <w:rFonts w:ascii="仿宋_GB2312" w:eastAsia="仿宋_GB2312" w:hAnsi="宋体" w:cs="宋体" w:hint="eastAsia"/>
          <w:b/>
          <w:bCs/>
          <w:sz w:val="32"/>
          <w:szCs w:val="32"/>
        </w:rPr>
        <w:t>第四章 组织机构</w:t>
      </w:r>
    </w:p>
    <w:p w14:paraId="63B593A6"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第十四条  标委会下设秘书处，承担标委会日常事务工作，完成商业贸促会和标委会交办的工作。秘书处的工作应纳入承担单位的工作计划。</w:t>
      </w:r>
    </w:p>
    <w:p w14:paraId="47EE39CC" w14:textId="77777777" w:rsidR="001302AE"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第十五条  标委会由委员组成，委员应当具有广泛性和代表性，可以来自生产者、经营者、使用者、消费者、公共利益方等相关方。教育科研机构、有关行政主管部门、检测及认证机构、</w:t>
      </w:r>
      <w:r w:rsidRPr="00F22A14">
        <w:rPr>
          <w:rFonts w:ascii="仿宋_GB2312" w:eastAsia="仿宋_GB2312" w:hAnsi="宋体" w:cs="宋体" w:hint="eastAsia"/>
          <w:sz w:val="32"/>
          <w:szCs w:val="32"/>
        </w:rPr>
        <w:lastRenderedPageBreak/>
        <w:t>社会团体等可以作为公共利益方代表。标委会委员必须具有中级以上职称的在职人员担任。</w:t>
      </w:r>
    </w:p>
    <w:p w14:paraId="192C0F91" w14:textId="77777777" w:rsidR="001302AE"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第十六条  标委会应由15名以上委员组成， 其中主任委员1人，副主任委员1-3人，秘书长1人，副秘书长1-3人。同一单位在同一标委会任职的委员不得超过3名。主任委员和副主任委员不得来自同一单位。</w:t>
      </w:r>
    </w:p>
    <w:p w14:paraId="4A5DF9F4" w14:textId="77777777" w:rsidR="001302AE"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第十七条  标委会主任委员、副主任委员、秘书长、副秘书长均由承担单位和相关单位推荐。</w:t>
      </w:r>
    </w:p>
    <w:p w14:paraId="124ADC09"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第十八条  标委会主任委员、副主任委员、秘书长、副秘书长、委员均由商业贸促会审核批准和聘任</w:t>
      </w:r>
      <w:r>
        <w:rPr>
          <w:rFonts w:ascii="仿宋_GB2312" w:eastAsia="仿宋_GB2312" w:hAnsi="宋体" w:cs="宋体" w:hint="eastAsia"/>
          <w:sz w:val="32"/>
          <w:szCs w:val="32"/>
        </w:rPr>
        <w:t>。</w:t>
      </w:r>
      <w:r w:rsidRPr="00F22A14">
        <w:rPr>
          <w:rFonts w:ascii="仿宋_GB2312" w:eastAsia="仿宋_GB2312" w:hAnsi="宋体" w:cs="宋体" w:hint="eastAsia"/>
          <w:sz w:val="32"/>
          <w:szCs w:val="32"/>
        </w:rPr>
        <w:t>根据工作需要，</w:t>
      </w:r>
      <w:proofErr w:type="gramStart"/>
      <w:r w:rsidRPr="00F22A14">
        <w:rPr>
          <w:rFonts w:ascii="仿宋_GB2312" w:eastAsia="仿宋_GB2312" w:hAnsi="宋体" w:cs="宋体" w:hint="eastAsia"/>
          <w:sz w:val="32"/>
          <w:szCs w:val="32"/>
        </w:rPr>
        <w:t>经标委</w:t>
      </w:r>
      <w:proofErr w:type="gramEnd"/>
      <w:r w:rsidRPr="00F22A14">
        <w:rPr>
          <w:rFonts w:ascii="仿宋_GB2312" w:eastAsia="仿宋_GB2312" w:hAnsi="宋体" w:cs="宋体" w:hint="eastAsia"/>
          <w:sz w:val="32"/>
          <w:szCs w:val="32"/>
        </w:rPr>
        <w:t>会申请，商业贸促会可对标委会组成人员进行调整。</w:t>
      </w:r>
    </w:p>
    <w:p w14:paraId="5CE8094E" w14:textId="77777777" w:rsidR="001302AE"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第十九条  主任委员的主要职责有：</w:t>
      </w:r>
    </w:p>
    <w:p w14:paraId="4CB9CC7A" w14:textId="77777777" w:rsidR="001302AE"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（一）领导标委会工作，通过秘书处向商业贸促会汇报标委会工作；</w:t>
      </w:r>
    </w:p>
    <w:p w14:paraId="0EE647AE"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（二）指</w:t>
      </w:r>
      <w:proofErr w:type="gramStart"/>
      <w:r w:rsidRPr="00F22A14">
        <w:rPr>
          <w:rFonts w:ascii="仿宋_GB2312" w:eastAsia="仿宋_GB2312" w:hAnsi="宋体" w:cs="宋体" w:hint="eastAsia"/>
          <w:sz w:val="32"/>
          <w:szCs w:val="32"/>
        </w:rPr>
        <w:t>导标委</w:t>
      </w:r>
      <w:proofErr w:type="gramEnd"/>
      <w:r w:rsidRPr="00F22A14">
        <w:rPr>
          <w:rFonts w:ascii="仿宋_GB2312" w:eastAsia="仿宋_GB2312" w:hAnsi="宋体" w:cs="宋体" w:hint="eastAsia"/>
          <w:sz w:val="32"/>
          <w:szCs w:val="32"/>
        </w:rPr>
        <w:t>会秘书处履行其职责；</w:t>
      </w:r>
    </w:p>
    <w:p w14:paraId="33588C25"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（三）主持标委会全体委员大会，确保各方代表意见充分反映，并组织形成全体委员大会意见；</w:t>
      </w:r>
    </w:p>
    <w:p w14:paraId="6705282D"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（四）签署标委会标准制修订计划项目申报、标准报批、标委会年度工作总结及有关调整、换届、申请等标委会重要工作文件。</w:t>
      </w:r>
    </w:p>
    <w:p w14:paraId="4BE34427"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第二十条  副主任委员的主要职责是协助主任委员开展工作，并可受主任委员的委托履行主任委员的职责。</w:t>
      </w:r>
    </w:p>
    <w:p w14:paraId="68BA6508"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lastRenderedPageBreak/>
        <w:t>第二十一条  秘书长主要职责有：</w:t>
      </w:r>
    </w:p>
    <w:p w14:paraId="51C2CE14"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（一）组织提出本标委会组织机构设置的建议；</w:t>
      </w:r>
    </w:p>
    <w:p w14:paraId="3968BDDE" w14:textId="77777777" w:rsidR="001302AE" w:rsidRPr="00F22A14" w:rsidRDefault="001302AE" w:rsidP="009F5F20">
      <w:pPr>
        <w:ind w:firstLineChars="100" w:firstLine="320"/>
        <w:jc w:val="both"/>
        <w:rPr>
          <w:rFonts w:ascii="仿宋_GB2312" w:eastAsia="仿宋_GB2312"/>
          <w:sz w:val="32"/>
          <w:szCs w:val="32"/>
        </w:rPr>
      </w:pPr>
      <w:r w:rsidRPr="00F22A14">
        <w:rPr>
          <w:rFonts w:ascii="仿宋_GB2312" w:eastAsia="仿宋_GB2312" w:hAnsi="宋体" w:cs="宋体" w:hint="eastAsia"/>
          <w:sz w:val="32"/>
          <w:szCs w:val="32"/>
        </w:rPr>
        <w:t xml:space="preserve"> </w:t>
      </w:r>
      <w:r>
        <w:rPr>
          <w:rFonts w:ascii="仿宋_GB2312" w:eastAsia="仿宋_GB2312" w:hAnsi="宋体" w:cs="宋体" w:hint="eastAsia"/>
          <w:sz w:val="32"/>
          <w:szCs w:val="32"/>
        </w:rPr>
        <w:t xml:space="preserve"> </w:t>
      </w:r>
      <w:r w:rsidRPr="00F22A14">
        <w:rPr>
          <w:rFonts w:ascii="仿宋_GB2312" w:eastAsia="仿宋_GB2312" w:hAnsi="宋体" w:cs="宋体" w:hint="eastAsia"/>
          <w:sz w:val="32"/>
          <w:szCs w:val="32"/>
        </w:rPr>
        <w:t>（二）组织提出本标委会的发展规划、标准体系及有关技术措施的建议；</w:t>
      </w:r>
    </w:p>
    <w:p w14:paraId="0248B702"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（三）组织提出本标委会年度标准制修订计划和标准科研项目建议，并组织落实项目计划</w:t>
      </w:r>
      <w:r>
        <w:rPr>
          <w:rFonts w:ascii="仿宋_GB2312" w:eastAsia="仿宋_GB2312" w:hAnsi="宋体" w:cs="宋体" w:hint="eastAsia"/>
          <w:sz w:val="32"/>
          <w:szCs w:val="32"/>
        </w:rPr>
        <w:t>；</w:t>
      </w:r>
    </w:p>
    <w:p w14:paraId="3AA17489"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（四）组织本标委会制定标准的实施和推广服务；</w:t>
      </w:r>
    </w:p>
    <w:p w14:paraId="5F007713"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（五）协助主任委员向商业贸促会汇报标委会工作；</w:t>
      </w:r>
    </w:p>
    <w:p w14:paraId="2FE4F370"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（六）负责秘书处日常工作，并签署标委会秘书处文件；</w:t>
      </w:r>
    </w:p>
    <w:p w14:paraId="7D5BD9DD"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（七）定时向主任、副主任委员汇报工作；</w:t>
      </w:r>
    </w:p>
    <w:p w14:paraId="47C1ECBE"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（八）组织本标委会参加相关的国内外标准化活动。</w:t>
      </w:r>
    </w:p>
    <w:p w14:paraId="75A41FCB"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第二十二条  副秘书长的主要职责是协助秘书长开展工作，并可受秘书长的委托履行秘书长的职责。</w:t>
      </w:r>
    </w:p>
    <w:p w14:paraId="3464A8BB"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第二十三条  委员应代表本单位积极参加标委会的活动，并有权获得标委会的资料和文件，行使表决权。</w:t>
      </w:r>
    </w:p>
    <w:p w14:paraId="14A9DCB0"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对不履行职责，三次以上不参加标委会活动；因工作变动或其他原因不适宜继续担任委员者，标委会可要求委员所在单位重新推荐人选，</w:t>
      </w:r>
      <w:proofErr w:type="gramStart"/>
      <w:r w:rsidRPr="00F22A14">
        <w:rPr>
          <w:rFonts w:ascii="仿宋_GB2312" w:eastAsia="仿宋_GB2312" w:hAnsi="宋体" w:cs="宋体" w:hint="eastAsia"/>
          <w:sz w:val="32"/>
          <w:szCs w:val="32"/>
        </w:rPr>
        <w:t>报商业</w:t>
      </w:r>
      <w:proofErr w:type="gramEnd"/>
      <w:r w:rsidRPr="00F22A14">
        <w:rPr>
          <w:rFonts w:ascii="仿宋_GB2312" w:eastAsia="仿宋_GB2312" w:hAnsi="宋体" w:cs="宋体" w:hint="eastAsia"/>
          <w:sz w:val="32"/>
          <w:szCs w:val="32"/>
        </w:rPr>
        <w:t>贸促会另行聘任。</w:t>
      </w:r>
    </w:p>
    <w:p w14:paraId="5383FBBE"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hAnsi="宋体" w:cs="宋体" w:hint="eastAsia"/>
          <w:sz w:val="32"/>
          <w:szCs w:val="32"/>
        </w:rPr>
        <w:t>第二十四条  标委会的最高权力归属标委会全体委员大会。标委会应每年至少召开一次全体委员会大会，总结上年度工作，安排下年度计划，通报经费使用情况等。</w:t>
      </w:r>
    </w:p>
    <w:p w14:paraId="095D7D85"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lastRenderedPageBreak/>
        <w:t>第二十五条  标委会每届任期3年。届满前6个月之内，标委会应将本届工作情况向商业贸促会进行书面报告，报告的主要内容应包括：</w:t>
      </w:r>
    </w:p>
    <w:p w14:paraId="62A51475"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t>（一）标委会的组织机构、人员及其调整等基本情况；</w:t>
      </w:r>
    </w:p>
    <w:p w14:paraId="720EAEBB"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t>（二）制修订标准的情况；</w:t>
      </w:r>
    </w:p>
    <w:p w14:paraId="38524128"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t>（三）所负责制修订标准的实施情况；</w:t>
      </w:r>
    </w:p>
    <w:p w14:paraId="469A73DF"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t>（四）从事标准宣贯、培训、咨询等相关标准化活动及其效果；</w:t>
      </w:r>
    </w:p>
    <w:p w14:paraId="2E5C11C5"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t>（五）标准经费使用的情况；</w:t>
      </w:r>
    </w:p>
    <w:p w14:paraId="1D2291A7"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t>（六）参与国内外标准</w:t>
      </w:r>
      <w:proofErr w:type="gramStart"/>
      <w:r w:rsidRPr="00F22A14">
        <w:rPr>
          <w:rFonts w:ascii="仿宋_GB2312" w:eastAsia="仿宋_GB2312" w:cs="宋体" w:hint="eastAsia"/>
          <w:sz w:val="32"/>
          <w:szCs w:val="32"/>
        </w:rPr>
        <w:t>化活动</w:t>
      </w:r>
      <w:proofErr w:type="gramEnd"/>
      <w:r w:rsidRPr="00F22A14">
        <w:rPr>
          <w:rFonts w:ascii="仿宋_GB2312" w:eastAsia="仿宋_GB2312" w:cs="宋体" w:hint="eastAsia"/>
          <w:sz w:val="32"/>
          <w:szCs w:val="32"/>
        </w:rPr>
        <w:t>情况；</w:t>
      </w:r>
    </w:p>
    <w:p w14:paraId="523A7A66"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t>（七）秘书处承担单位对秘书处工作的支持情况；</w:t>
      </w:r>
    </w:p>
    <w:p w14:paraId="287686E1"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t>（八）完成商业贸促会交办的其他工作情况。</w:t>
      </w:r>
    </w:p>
    <w:p w14:paraId="662127D3"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t>第二十六条  标委会任期届满后，商业贸促会根据工作报告和任期内工作考核情况对标委会进行确认，并将结果对外公布。考核结果分为换届、调整、撤销。</w:t>
      </w:r>
    </w:p>
    <w:p w14:paraId="2101AB70"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t>（一）换届：团体标准任务完成率超过85%，有团体标准提案15个以上，在工作中没有明显违规行为或失误，准予换届</w:t>
      </w:r>
      <w:r>
        <w:rPr>
          <w:rFonts w:ascii="仿宋_GB2312" w:eastAsia="仿宋_GB2312" w:cs="宋体" w:hint="eastAsia"/>
          <w:sz w:val="32"/>
          <w:szCs w:val="32"/>
        </w:rPr>
        <w:t>；</w:t>
      </w:r>
    </w:p>
    <w:p w14:paraId="581A9CBC" w14:textId="77777777" w:rsidR="001302AE"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t>（二）调整：团体标准任务完成率未达到85%，团体标准提案少于15个，在工作中有明显违规行为或重大失误的，秘书处承担单位需调整，重新组建</w:t>
      </w:r>
      <w:r>
        <w:rPr>
          <w:rFonts w:ascii="仿宋_GB2312" w:eastAsia="仿宋_GB2312" w:cs="宋体" w:hint="eastAsia"/>
          <w:sz w:val="32"/>
          <w:szCs w:val="32"/>
        </w:rPr>
        <w:t>；</w:t>
      </w:r>
    </w:p>
    <w:p w14:paraId="0FFBC938" w14:textId="77777777" w:rsidR="001302AE"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lastRenderedPageBreak/>
        <w:t>（三）撤消：任期</w:t>
      </w:r>
      <w:proofErr w:type="gramStart"/>
      <w:r w:rsidRPr="00F22A14">
        <w:rPr>
          <w:rFonts w:ascii="仿宋_GB2312" w:eastAsia="仿宋_GB2312" w:cs="宋体" w:hint="eastAsia"/>
          <w:sz w:val="32"/>
          <w:szCs w:val="32"/>
        </w:rPr>
        <w:t>内团体</w:t>
      </w:r>
      <w:proofErr w:type="gramEnd"/>
      <w:r w:rsidRPr="00F22A14">
        <w:rPr>
          <w:rFonts w:ascii="仿宋_GB2312" w:eastAsia="仿宋_GB2312" w:cs="宋体" w:hint="eastAsia"/>
          <w:sz w:val="32"/>
          <w:szCs w:val="32"/>
        </w:rPr>
        <w:t>标准任务完成率低于50%，团体标准提案不超过6个，且无法完成商业贸促会交办的其他标准化工作，标委会予以撤消。</w:t>
      </w:r>
    </w:p>
    <w:p w14:paraId="4963128E" w14:textId="77777777" w:rsidR="001302AE"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t>第二十七条 经商业贸促会确认换届的标委会，应在确认换届后3个月提出换届申请，并填报以下材料：</w:t>
      </w:r>
    </w:p>
    <w:p w14:paraId="78CBA7AD" w14:textId="77777777" w:rsidR="001302AE"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t>（一）《</w:t>
      </w:r>
      <w:r w:rsidRPr="00F22A14">
        <w:rPr>
          <w:rFonts w:ascii="仿宋_GB2312" w:eastAsia="仿宋_GB2312" w:hAnsi="宋体" w:cs="宋体" w:hint="eastAsia"/>
          <w:sz w:val="32"/>
          <w:szCs w:val="32"/>
        </w:rPr>
        <w:t>中国贸促会商业行业委员会专业标准化技术委员会登记表</w:t>
      </w:r>
      <w:r w:rsidRPr="00F22A14">
        <w:rPr>
          <w:rFonts w:ascii="仿宋_GB2312" w:eastAsia="仿宋_GB2312" w:cs="宋体" w:hint="eastAsia"/>
          <w:sz w:val="32"/>
          <w:szCs w:val="32"/>
        </w:rPr>
        <w:t>》；</w:t>
      </w:r>
    </w:p>
    <w:p w14:paraId="37EC8CBD" w14:textId="77777777" w:rsidR="001302AE"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t>（二）《</w:t>
      </w:r>
      <w:r w:rsidRPr="00F22A14">
        <w:rPr>
          <w:rFonts w:ascii="仿宋_GB2312" w:eastAsia="仿宋_GB2312" w:hAnsi="宋体" w:cs="宋体" w:hint="eastAsia"/>
          <w:sz w:val="32"/>
          <w:szCs w:val="32"/>
        </w:rPr>
        <w:t>中国贸促会商业行业委员会专业标准化技术委员会委员登记表</w:t>
      </w:r>
      <w:r w:rsidRPr="00F22A14">
        <w:rPr>
          <w:rFonts w:ascii="仿宋_GB2312" w:eastAsia="仿宋_GB2312" w:cs="宋体" w:hint="eastAsia"/>
          <w:sz w:val="32"/>
          <w:szCs w:val="32"/>
        </w:rPr>
        <w:t xml:space="preserve">》； </w:t>
      </w:r>
    </w:p>
    <w:p w14:paraId="08DFEFED"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t>（三）新一届标委会章程、秘书处工作细则、工作计划等；</w:t>
      </w:r>
    </w:p>
    <w:p w14:paraId="12041298"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t>（四） 换届申请文件。</w:t>
      </w:r>
    </w:p>
    <w:p w14:paraId="414A0D3D"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t>第二十八条  经确认调整的标委会，由商业贸促会公开征集重组方案。标委会重组参照标委会组建相关要求进行。</w:t>
      </w:r>
    </w:p>
    <w:p w14:paraId="50EAA398"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t>第二十九条  经商业贸促会确认撤销的标委会，其相关工作由商业贸促会标准工作部承担。</w:t>
      </w:r>
    </w:p>
    <w:p w14:paraId="5492CE2B"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t>第三十条  对新技术、新产业、新业态、新模式有标准化需求但暂不具备组建标委会条件的，经商业贸促会批准可以成立标准化工作组，承担相关系列团体标准的制修订工作。标准化工作组组建程序和管理要求参照标委会执行。工作组需至少具备4名工作人员，工作组组长主要职责参照标委会主任委员和秘书长的工作职责执行。</w:t>
      </w:r>
    </w:p>
    <w:p w14:paraId="4885AA15" w14:textId="591D84C3"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lastRenderedPageBreak/>
        <w:t>第三十一条  标委会、标准化工作组由商业贸促会统一编号，分别为CCPITCSC/TC XXX、CCPITCSC/SWG XXX。</w:t>
      </w:r>
    </w:p>
    <w:p w14:paraId="4ADAD121" w14:textId="77777777" w:rsidR="001302AE" w:rsidRPr="00F22A14" w:rsidRDefault="001302AE" w:rsidP="001302AE">
      <w:pPr>
        <w:jc w:val="center"/>
        <w:rPr>
          <w:rFonts w:ascii="仿宋_GB2312" w:eastAsia="仿宋_GB2312" w:cs="宋体"/>
          <w:b/>
          <w:bCs/>
          <w:sz w:val="32"/>
          <w:szCs w:val="32"/>
        </w:rPr>
      </w:pPr>
      <w:r w:rsidRPr="00F22A14">
        <w:rPr>
          <w:rFonts w:ascii="仿宋_GB2312" w:eastAsia="仿宋_GB2312" w:hAnsi="宋体" w:cs="宋体" w:hint="eastAsia"/>
          <w:b/>
          <w:bCs/>
          <w:sz w:val="32"/>
          <w:szCs w:val="32"/>
        </w:rPr>
        <w:t>第五章 工作任务</w:t>
      </w:r>
    </w:p>
    <w:p w14:paraId="4795AF3D" w14:textId="77777777" w:rsidR="001302AE"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t>第三十二条  标委会应及时向商业贸促会提出本专业领域标准化工作的方针、政策、技术措施的建议。</w:t>
      </w:r>
    </w:p>
    <w:p w14:paraId="54707F3E"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t>第三十三条  标委会研究并提出本专业领域的标准化工作发展规划及标准体系表，提出本专业领域团体标准制修订计划，提出本专业领域采用国际标准和国外先进标准的规划计划等。</w:t>
      </w:r>
    </w:p>
    <w:p w14:paraId="7ACE3D52"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t>第三十四条  负责组织本专业领域团体标准的宣贯、解释工作；对本领域已颁布各类标准的实施进行调查和分析，</w:t>
      </w:r>
      <w:proofErr w:type="gramStart"/>
      <w:r w:rsidRPr="00F22A14">
        <w:rPr>
          <w:rFonts w:ascii="仿宋_GB2312" w:eastAsia="仿宋_GB2312" w:cs="宋体" w:hint="eastAsia"/>
          <w:sz w:val="32"/>
          <w:szCs w:val="32"/>
        </w:rPr>
        <w:t>作出</w:t>
      </w:r>
      <w:proofErr w:type="gramEnd"/>
      <w:r w:rsidRPr="00F22A14">
        <w:rPr>
          <w:rFonts w:ascii="仿宋_GB2312" w:eastAsia="仿宋_GB2312" w:cs="宋体" w:hint="eastAsia"/>
          <w:sz w:val="32"/>
          <w:szCs w:val="32"/>
        </w:rPr>
        <w:t>书面报告。</w:t>
      </w:r>
    </w:p>
    <w:p w14:paraId="55135DC9"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t>第三十五条  负责建立和管理本标委会工作档案。</w:t>
      </w:r>
    </w:p>
    <w:p w14:paraId="6301D08B"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t>第三十六条  每年召开委员代表年会，研究重大事项，形成标委会年度工作总结，并通报各委员。</w:t>
      </w:r>
    </w:p>
    <w:p w14:paraId="57AA4D3F"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t>第三十七条  标委会秘书处应在每年一季度填写《中国贸促会商业行业分会专业标准化技术委员会年度工作报表》</w:t>
      </w:r>
      <w:proofErr w:type="gramStart"/>
      <w:r w:rsidRPr="00F22A14">
        <w:rPr>
          <w:rFonts w:ascii="仿宋_GB2312" w:eastAsia="仿宋_GB2312" w:cs="宋体" w:hint="eastAsia"/>
          <w:sz w:val="32"/>
          <w:szCs w:val="32"/>
        </w:rPr>
        <w:t>报商业</w:t>
      </w:r>
      <w:proofErr w:type="gramEnd"/>
      <w:r w:rsidRPr="00F22A14">
        <w:rPr>
          <w:rFonts w:ascii="仿宋_GB2312" w:eastAsia="仿宋_GB2312" w:cs="宋体" w:hint="eastAsia"/>
          <w:sz w:val="32"/>
          <w:szCs w:val="32"/>
        </w:rPr>
        <w:t>贸促会。</w:t>
      </w:r>
    </w:p>
    <w:p w14:paraId="436B4CA4" w14:textId="5C7B23AD" w:rsidR="001302AE" w:rsidRPr="009F5F20" w:rsidRDefault="001302AE" w:rsidP="009F5F20">
      <w:pPr>
        <w:ind w:firstLineChars="200" w:firstLine="640"/>
        <w:jc w:val="both"/>
        <w:rPr>
          <w:rFonts w:ascii="仿宋_GB2312" w:eastAsia="仿宋_GB2312" w:cs="宋体"/>
          <w:sz w:val="32"/>
          <w:szCs w:val="32"/>
        </w:rPr>
      </w:pPr>
      <w:r w:rsidRPr="00F22A14">
        <w:rPr>
          <w:rFonts w:ascii="仿宋_GB2312" w:eastAsia="仿宋_GB2312" w:cs="宋体" w:hint="eastAsia"/>
          <w:sz w:val="32"/>
          <w:szCs w:val="32"/>
        </w:rPr>
        <w:t xml:space="preserve">第三十八条  承担商业贸促会委托的本专业领域标准化工作的其他事宜。 </w:t>
      </w:r>
    </w:p>
    <w:p w14:paraId="0667FBA2" w14:textId="77777777" w:rsidR="001302AE" w:rsidRPr="00F22A14" w:rsidRDefault="001302AE" w:rsidP="001302AE">
      <w:pPr>
        <w:jc w:val="center"/>
        <w:rPr>
          <w:rFonts w:ascii="仿宋_GB2312" w:eastAsia="仿宋_GB2312" w:cs="宋体"/>
          <w:b/>
          <w:bCs/>
          <w:sz w:val="32"/>
          <w:szCs w:val="32"/>
        </w:rPr>
      </w:pPr>
      <w:r w:rsidRPr="00F22A14">
        <w:rPr>
          <w:rFonts w:ascii="仿宋_GB2312" w:eastAsia="仿宋_GB2312" w:hAnsi="宋体" w:cs="宋体" w:hint="eastAsia"/>
          <w:b/>
          <w:bCs/>
          <w:sz w:val="32"/>
          <w:szCs w:val="32"/>
        </w:rPr>
        <w:t>第六章 经费</w:t>
      </w:r>
    </w:p>
    <w:p w14:paraId="5E2D3756"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t xml:space="preserve">第三十九条  标委会活动经费按照专款专用原则筹集和开支。          </w:t>
      </w:r>
    </w:p>
    <w:p w14:paraId="07B0D502"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lastRenderedPageBreak/>
        <w:t>第四十条  标委会活动经费的来源：</w:t>
      </w:r>
    </w:p>
    <w:p w14:paraId="25E85D62"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t>（一）秘书处承担单位提供的经费；</w:t>
      </w:r>
    </w:p>
    <w:p w14:paraId="5E534028"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t>（二）开展本专业标准化咨询、服务工作的收入；</w:t>
      </w:r>
    </w:p>
    <w:p w14:paraId="3AD12A47"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t>（三）社会各界对本专业领域标准化工作的资助；</w:t>
      </w:r>
    </w:p>
    <w:p w14:paraId="054FC747" w14:textId="77777777" w:rsidR="001302AE"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t>（四）标委会会员交纳的会费；</w:t>
      </w:r>
    </w:p>
    <w:p w14:paraId="609CAE55"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t>（五）其他。</w:t>
      </w:r>
    </w:p>
    <w:p w14:paraId="75D8CDEA"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t>第四十一条  标委会的经费主要用于以下几个方面：</w:t>
      </w:r>
    </w:p>
    <w:p w14:paraId="19607E73"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t>（一） 标委会秘书处日常工作开展；</w:t>
      </w:r>
    </w:p>
    <w:p w14:paraId="25DFBFBF"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t>（二） 对标准制修订提供补助；</w:t>
      </w:r>
    </w:p>
    <w:p w14:paraId="13CBBE2F"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t>（三） 为委员提供必要的文件与资料；</w:t>
      </w:r>
    </w:p>
    <w:p w14:paraId="0A4BC29B"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t>（四） 标委会举行会议，开展宣传活动；</w:t>
      </w:r>
    </w:p>
    <w:p w14:paraId="17756A43"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t>（五） 标委会委员培训及有关标准化人才的培养。</w:t>
      </w:r>
    </w:p>
    <w:p w14:paraId="01AD1516" w14:textId="7B1480D5"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t>第四十二条  标委会秘书处要制定严格的财务制度，专款专用，并接受标委会委员的监督，定期向全体委员通报，并向商业贸促会做书面报告。</w:t>
      </w:r>
    </w:p>
    <w:p w14:paraId="680EA137" w14:textId="77777777" w:rsidR="001302AE" w:rsidRPr="00F22A14" w:rsidRDefault="001302AE" w:rsidP="001302AE">
      <w:pPr>
        <w:jc w:val="center"/>
        <w:rPr>
          <w:rFonts w:ascii="仿宋_GB2312" w:eastAsia="仿宋_GB2312" w:cs="宋体"/>
          <w:b/>
          <w:bCs/>
          <w:sz w:val="32"/>
          <w:szCs w:val="32"/>
        </w:rPr>
      </w:pPr>
      <w:r w:rsidRPr="00F22A14">
        <w:rPr>
          <w:rFonts w:ascii="仿宋_GB2312" w:eastAsia="仿宋_GB2312" w:hAnsi="宋体" w:cs="宋体" w:hint="eastAsia"/>
          <w:b/>
          <w:bCs/>
          <w:sz w:val="32"/>
          <w:szCs w:val="32"/>
        </w:rPr>
        <w:t>第七章 监督管理</w:t>
      </w:r>
    </w:p>
    <w:p w14:paraId="144BABFA"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t>第四十三条  商业贸促会应当对标委会进行定期监督检查。</w:t>
      </w:r>
    </w:p>
    <w:p w14:paraId="36115D01"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t>第四十四条  标委会应当建立内部监督检查制度，加强自律管理，并接受社会监督。</w:t>
      </w:r>
    </w:p>
    <w:p w14:paraId="028EFECB" w14:textId="5C9F552D" w:rsidR="001302AE" w:rsidRPr="009F5F20" w:rsidRDefault="001302AE" w:rsidP="009F5F20">
      <w:pPr>
        <w:ind w:firstLineChars="200" w:firstLine="640"/>
        <w:jc w:val="both"/>
        <w:rPr>
          <w:rFonts w:ascii="仿宋_GB2312" w:eastAsia="仿宋_GB2312" w:cs="宋体"/>
          <w:sz w:val="32"/>
          <w:szCs w:val="32"/>
        </w:rPr>
      </w:pPr>
      <w:r w:rsidRPr="00F22A14">
        <w:rPr>
          <w:rFonts w:ascii="仿宋_GB2312" w:eastAsia="仿宋_GB2312" w:cs="宋体" w:hint="eastAsia"/>
          <w:sz w:val="32"/>
          <w:szCs w:val="32"/>
        </w:rPr>
        <w:t>第四十五条  标委会秘书处承担单位应当严格按照国家有关财务制度的规定，将标委会的工作经费纳入单位财务统一管理，</w:t>
      </w:r>
      <w:r w:rsidRPr="00F22A14">
        <w:rPr>
          <w:rFonts w:ascii="仿宋_GB2312" w:eastAsia="仿宋_GB2312" w:cs="宋体" w:hint="eastAsia"/>
          <w:sz w:val="32"/>
          <w:szCs w:val="32"/>
        </w:rPr>
        <w:lastRenderedPageBreak/>
        <w:t>单独核算，专款专用。秘书处应当向全体委员报告年度经费收支情况。</w:t>
      </w:r>
    </w:p>
    <w:p w14:paraId="42D16F6A" w14:textId="77777777" w:rsidR="001302AE" w:rsidRPr="00F22A14" w:rsidRDefault="001302AE" w:rsidP="001302AE">
      <w:pPr>
        <w:jc w:val="center"/>
        <w:rPr>
          <w:rFonts w:ascii="仿宋_GB2312" w:eastAsia="仿宋_GB2312" w:cs="宋体"/>
          <w:b/>
          <w:bCs/>
          <w:sz w:val="32"/>
          <w:szCs w:val="32"/>
        </w:rPr>
      </w:pPr>
      <w:r w:rsidRPr="00F22A14">
        <w:rPr>
          <w:rFonts w:ascii="仿宋_GB2312" w:eastAsia="仿宋_GB2312" w:hAnsi="宋体" w:cs="宋体" w:hint="eastAsia"/>
          <w:b/>
          <w:bCs/>
          <w:sz w:val="32"/>
          <w:szCs w:val="32"/>
        </w:rPr>
        <w:t>第八章 附则</w:t>
      </w:r>
    </w:p>
    <w:p w14:paraId="77ABFBCA"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t>第四十六条  各标委会应根据本办法，结合本专业领域的具体情况制定本标委会的章程、秘书处工作细则及其他内部规章制度。</w:t>
      </w:r>
    </w:p>
    <w:p w14:paraId="1BE773C3"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t>第四十七条   本办法由商业贸促会负责解释。</w:t>
      </w:r>
    </w:p>
    <w:p w14:paraId="1950D197" w14:textId="77777777" w:rsidR="001302AE" w:rsidRPr="00F22A14" w:rsidRDefault="001302AE" w:rsidP="009F5F20">
      <w:pPr>
        <w:ind w:firstLineChars="200" w:firstLine="640"/>
        <w:jc w:val="both"/>
        <w:rPr>
          <w:rFonts w:ascii="仿宋_GB2312" w:eastAsia="仿宋_GB2312"/>
          <w:sz w:val="32"/>
          <w:szCs w:val="32"/>
        </w:rPr>
      </w:pPr>
      <w:r w:rsidRPr="00F22A14">
        <w:rPr>
          <w:rFonts w:ascii="仿宋_GB2312" w:eastAsia="仿宋_GB2312" w:cs="宋体" w:hint="eastAsia"/>
          <w:sz w:val="32"/>
          <w:szCs w:val="32"/>
        </w:rPr>
        <w:t>第四十八条   本办法自2022年10月起实施。</w:t>
      </w:r>
      <w:bookmarkEnd w:id="0"/>
      <w:bookmarkEnd w:id="1"/>
    </w:p>
    <w:bookmarkEnd w:id="2"/>
    <w:p w14:paraId="3022404D" w14:textId="52DB65B9" w:rsidR="001302AE" w:rsidRDefault="001302AE" w:rsidP="001302AE">
      <w:pPr>
        <w:rPr>
          <w:rFonts w:ascii="黑体" w:eastAsia="黑体" w:hAnsi="黑体" w:hint="eastAsia"/>
          <w:sz w:val="32"/>
          <w:szCs w:val="32"/>
        </w:rPr>
      </w:pPr>
    </w:p>
    <w:sectPr w:rsidR="001302AE">
      <w:footerReference w:type="default" r:id="rId8"/>
      <w:pgSz w:w="11906" w:h="16838"/>
      <w:pgMar w:top="1440" w:right="1474" w:bottom="1440" w:left="1474"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1F4DE" w14:textId="77777777" w:rsidR="0028056A" w:rsidRDefault="0028056A">
      <w:r>
        <w:separator/>
      </w:r>
    </w:p>
  </w:endnote>
  <w:endnote w:type="continuationSeparator" w:id="0">
    <w:p w14:paraId="5FB9DC9B" w14:textId="77777777" w:rsidR="0028056A" w:rsidRDefault="0028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
    </w:sdtPr>
    <w:sdtContent>
      <w:p w14:paraId="44331037" w14:textId="77777777" w:rsidR="00FD6F1E" w:rsidRDefault="00000000">
        <w:pPr>
          <w:pStyle w:val="ab"/>
          <w:jc w:val="right"/>
        </w:pPr>
        <w:r>
          <w:fldChar w:fldCharType="begin"/>
        </w:r>
        <w:r>
          <w:instrText>PAGE   \* MERGEFORMAT</w:instrText>
        </w:r>
        <w:r>
          <w:fldChar w:fldCharType="separate"/>
        </w:r>
        <w:r>
          <w:rPr>
            <w:lang w:val="zh-CN"/>
          </w:rPr>
          <w:t>-</w:t>
        </w:r>
        <w:r>
          <w:t xml:space="preserve"> 4 -</w:t>
        </w:r>
        <w:r>
          <w:fldChar w:fldCharType="end"/>
        </w:r>
      </w:p>
    </w:sdtContent>
  </w:sdt>
  <w:p w14:paraId="7601E917" w14:textId="77777777" w:rsidR="00FD6F1E" w:rsidRDefault="00FD6F1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82269" w14:textId="77777777" w:rsidR="0028056A" w:rsidRDefault="0028056A">
      <w:r>
        <w:separator/>
      </w:r>
    </w:p>
  </w:footnote>
  <w:footnote w:type="continuationSeparator" w:id="0">
    <w:p w14:paraId="0CB6B80E" w14:textId="77777777" w:rsidR="0028056A" w:rsidRDefault="00280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485"/>
    <w:rsid w:val="8B5F37B2"/>
    <w:rsid w:val="9DBD845B"/>
    <w:rsid w:val="B7FEF9C4"/>
    <w:rsid w:val="F3BB4F5B"/>
    <w:rsid w:val="000028D0"/>
    <w:rsid w:val="000079D0"/>
    <w:rsid w:val="0004334B"/>
    <w:rsid w:val="00043485"/>
    <w:rsid w:val="00050737"/>
    <w:rsid w:val="0005252A"/>
    <w:rsid w:val="00054677"/>
    <w:rsid w:val="000617C4"/>
    <w:rsid w:val="00075713"/>
    <w:rsid w:val="00081CD5"/>
    <w:rsid w:val="0008207E"/>
    <w:rsid w:val="00083C6B"/>
    <w:rsid w:val="000A1D2A"/>
    <w:rsid w:val="000B277D"/>
    <w:rsid w:val="000B3476"/>
    <w:rsid w:val="000C27DE"/>
    <w:rsid w:val="000E4752"/>
    <w:rsid w:val="000F3636"/>
    <w:rsid w:val="00103565"/>
    <w:rsid w:val="001053B8"/>
    <w:rsid w:val="00105EB7"/>
    <w:rsid w:val="00112EDD"/>
    <w:rsid w:val="00124F2E"/>
    <w:rsid w:val="00125C70"/>
    <w:rsid w:val="001302AE"/>
    <w:rsid w:val="00146C91"/>
    <w:rsid w:val="00160C8E"/>
    <w:rsid w:val="00162BB2"/>
    <w:rsid w:val="001813B8"/>
    <w:rsid w:val="00191A03"/>
    <w:rsid w:val="001947CA"/>
    <w:rsid w:val="001B357E"/>
    <w:rsid w:val="001C6398"/>
    <w:rsid w:val="001F0849"/>
    <w:rsid w:val="001F1202"/>
    <w:rsid w:val="001F2CF3"/>
    <w:rsid w:val="001F5854"/>
    <w:rsid w:val="00205F7B"/>
    <w:rsid w:val="002071DD"/>
    <w:rsid w:val="002112D2"/>
    <w:rsid w:val="00223335"/>
    <w:rsid w:val="0027311C"/>
    <w:rsid w:val="00274350"/>
    <w:rsid w:val="00276637"/>
    <w:rsid w:val="0028056A"/>
    <w:rsid w:val="00287DB6"/>
    <w:rsid w:val="0029593F"/>
    <w:rsid w:val="002A2C2D"/>
    <w:rsid w:val="002C6ADB"/>
    <w:rsid w:val="002D6E73"/>
    <w:rsid w:val="002E3974"/>
    <w:rsid w:val="002E7083"/>
    <w:rsid w:val="003049B0"/>
    <w:rsid w:val="003143C4"/>
    <w:rsid w:val="00314E28"/>
    <w:rsid w:val="0034786B"/>
    <w:rsid w:val="0036748B"/>
    <w:rsid w:val="00374802"/>
    <w:rsid w:val="003A2B04"/>
    <w:rsid w:val="003C7B14"/>
    <w:rsid w:val="003D18C8"/>
    <w:rsid w:val="003D4294"/>
    <w:rsid w:val="003E7479"/>
    <w:rsid w:val="003F3C73"/>
    <w:rsid w:val="003F48C9"/>
    <w:rsid w:val="003F593B"/>
    <w:rsid w:val="00402A1C"/>
    <w:rsid w:val="0041015D"/>
    <w:rsid w:val="00421A29"/>
    <w:rsid w:val="00436A54"/>
    <w:rsid w:val="00446309"/>
    <w:rsid w:val="00446781"/>
    <w:rsid w:val="00450575"/>
    <w:rsid w:val="00452E8C"/>
    <w:rsid w:val="00453B30"/>
    <w:rsid w:val="004627F5"/>
    <w:rsid w:val="0046405F"/>
    <w:rsid w:val="004732B4"/>
    <w:rsid w:val="00474495"/>
    <w:rsid w:val="00475F16"/>
    <w:rsid w:val="004874CF"/>
    <w:rsid w:val="004A3352"/>
    <w:rsid w:val="004A4DF3"/>
    <w:rsid w:val="004A5C21"/>
    <w:rsid w:val="004B343C"/>
    <w:rsid w:val="004C0923"/>
    <w:rsid w:val="004C4266"/>
    <w:rsid w:val="004E28F9"/>
    <w:rsid w:val="00502D06"/>
    <w:rsid w:val="00513CA7"/>
    <w:rsid w:val="0051672C"/>
    <w:rsid w:val="0052020B"/>
    <w:rsid w:val="005274CA"/>
    <w:rsid w:val="00537FBF"/>
    <w:rsid w:val="00571244"/>
    <w:rsid w:val="00575590"/>
    <w:rsid w:val="005813C8"/>
    <w:rsid w:val="00583974"/>
    <w:rsid w:val="0059092B"/>
    <w:rsid w:val="0059581F"/>
    <w:rsid w:val="005A77A8"/>
    <w:rsid w:val="005B42AD"/>
    <w:rsid w:val="005C1151"/>
    <w:rsid w:val="005C33C2"/>
    <w:rsid w:val="005D4FF7"/>
    <w:rsid w:val="005F2EED"/>
    <w:rsid w:val="006136E4"/>
    <w:rsid w:val="00613CCC"/>
    <w:rsid w:val="00633F9A"/>
    <w:rsid w:val="006341B5"/>
    <w:rsid w:val="00642C22"/>
    <w:rsid w:val="00645517"/>
    <w:rsid w:val="00646267"/>
    <w:rsid w:val="0064742C"/>
    <w:rsid w:val="0065101A"/>
    <w:rsid w:val="00675587"/>
    <w:rsid w:val="006806D4"/>
    <w:rsid w:val="00681334"/>
    <w:rsid w:val="00682D1F"/>
    <w:rsid w:val="006A678A"/>
    <w:rsid w:val="006B722B"/>
    <w:rsid w:val="006E2232"/>
    <w:rsid w:val="006E558C"/>
    <w:rsid w:val="006F5C21"/>
    <w:rsid w:val="00716D80"/>
    <w:rsid w:val="00720B11"/>
    <w:rsid w:val="00730A50"/>
    <w:rsid w:val="0073130A"/>
    <w:rsid w:val="00733F20"/>
    <w:rsid w:val="00735ED8"/>
    <w:rsid w:val="007417FD"/>
    <w:rsid w:val="0075633B"/>
    <w:rsid w:val="0076662E"/>
    <w:rsid w:val="0077362A"/>
    <w:rsid w:val="007A5F25"/>
    <w:rsid w:val="007B77EE"/>
    <w:rsid w:val="007D3EC8"/>
    <w:rsid w:val="007F73F5"/>
    <w:rsid w:val="00824435"/>
    <w:rsid w:val="00833B9B"/>
    <w:rsid w:val="00833C9C"/>
    <w:rsid w:val="0083593B"/>
    <w:rsid w:val="00841C7A"/>
    <w:rsid w:val="00847350"/>
    <w:rsid w:val="00850BC4"/>
    <w:rsid w:val="008736AA"/>
    <w:rsid w:val="00896532"/>
    <w:rsid w:val="008B7149"/>
    <w:rsid w:val="008D0E64"/>
    <w:rsid w:val="008D366F"/>
    <w:rsid w:val="00911DD0"/>
    <w:rsid w:val="00914C3D"/>
    <w:rsid w:val="00917F07"/>
    <w:rsid w:val="00934921"/>
    <w:rsid w:val="00950ABC"/>
    <w:rsid w:val="0095182F"/>
    <w:rsid w:val="00957351"/>
    <w:rsid w:val="00981ABD"/>
    <w:rsid w:val="009A6FE1"/>
    <w:rsid w:val="009B5B10"/>
    <w:rsid w:val="009C0F49"/>
    <w:rsid w:val="009C154B"/>
    <w:rsid w:val="009D4049"/>
    <w:rsid w:val="009D647C"/>
    <w:rsid w:val="009D6A89"/>
    <w:rsid w:val="009E379F"/>
    <w:rsid w:val="009F5F20"/>
    <w:rsid w:val="00A0613B"/>
    <w:rsid w:val="00A12CBC"/>
    <w:rsid w:val="00A1385F"/>
    <w:rsid w:val="00A15EC1"/>
    <w:rsid w:val="00A27A3D"/>
    <w:rsid w:val="00A4576A"/>
    <w:rsid w:val="00A45775"/>
    <w:rsid w:val="00A5037D"/>
    <w:rsid w:val="00A54A5C"/>
    <w:rsid w:val="00A5536F"/>
    <w:rsid w:val="00A61CD7"/>
    <w:rsid w:val="00A8035F"/>
    <w:rsid w:val="00A822A1"/>
    <w:rsid w:val="00A951C4"/>
    <w:rsid w:val="00AA61B1"/>
    <w:rsid w:val="00AA7CFC"/>
    <w:rsid w:val="00AB4F1C"/>
    <w:rsid w:val="00AD0483"/>
    <w:rsid w:val="00AE793C"/>
    <w:rsid w:val="00B022BC"/>
    <w:rsid w:val="00B05D40"/>
    <w:rsid w:val="00B176D7"/>
    <w:rsid w:val="00B42998"/>
    <w:rsid w:val="00B514A9"/>
    <w:rsid w:val="00B6459B"/>
    <w:rsid w:val="00B64989"/>
    <w:rsid w:val="00B71D72"/>
    <w:rsid w:val="00B7207A"/>
    <w:rsid w:val="00B7535F"/>
    <w:rsid w:val="00B81541"/>
    <w:rsid w:val="00B8622A"/>
    <w:rsid w:val="00B90589"/>
    <w:rsid w:val="00BA2C6A"/>
    <w:rsid w:val="00BA66A6"/>
    <w:rsid w:val="00BB2719"/>
    <w:rsid w:val="00BC015F"/>
    <w:rsid w:val="00BD4277"/>
    <w:rsid w:val="00BD6CF0"/>
    <w:rsid w:val="00C12DCD"/>
    <w:rsid w:val="00C20758"/>
    <w:rsid w:val="00C239AA"/>
    <w:rsid w:val="00C23AF3"/>
    <w:rsid w:val="00C23E0C"/>
    <w:rsid w:val="00C3271E"/>
    <w:rsid w:val="00C51BE5"/>
    <w:rsid w:val="00C56C2F"/>
    <w:rsid w:val="00C6323F"/>
    <w:rsid w:val="00C639D4"/>
    <w:rsid w:val="00C7278A"/>
    <w:rsid w:val="00C73CF7"/>
    <w:rsid w:val="00C8223F"/>
    <w:rsid w:val="00C83E19"/>
    <w:rsid w:val="00C85F90"/>
    <w:rsid w:val="00CB13BC"/>
    <w:rsid w:val="00CB18AD"/>
    <w:rsid w:val="00CB65B5"/>
    <w:rsid w:val="00CC4F18"/>
    <w:rsid w:val="00CD372D"/>
    <w:rsid w:val="00CE7598"/>
    <w:rsid w:val="00D139EE"/>
    <w:rsid w:val="00D33A44"/>
    <w:rsid w:val="00D4027A"/>
    <w:rsid w:val="00D402BC"/>
    <w:rsid w:val="00D404B4"/>
    <w:rsid w:val="00D5126A"/>
    <w:rsid w:val="00D56572"/>
    <w:rsid w:val="00D61937"/>
    <w:rsid w:val="00D63C16"/>
    <w:rsid w:val="00D67CF1"/>
    <w:rsid w:val="00D7530E"/>
    <w:rsid w:val="00D90B5C"/>
    <w:rsid w:val="00D92EDB"/>
    <w:rsid w:val="00DB2FAD"/>
    <w:rsid w:val="00DD3598"/>
    <w:rsid w:val="00DE44DD"/>
    <w:rsid w:val="00DF0367"/>
    <w:rsid w:val="00DF3042"/>
    <w:rsid w:val="00DF70C2"/>
    <w:rsid w:val="00E01CEC"/>
    <w:rsid w:val="00E029BD"/>
    <w:rsid w:val="00E168A5"/>
    <w:rsid w:val="00E306B1"/>
    <w:rsid w:val="00E32C1E"/>
    <w:rsid w:val="00E65243"/>
    <w:rsid w:val="00E65A59"/>
    <w:rsid w:val="00E66815"/>
    <w:rsid w:val="00E77628"/>
    <w:rsid w:val="00E90E72"/>
    <w:rsid w:val="00E92B7E"/>
    <w:rsid w:val="00E97C0D"/>
    <w:rsid w:val="00EA326C"/>
    <w:rsid w:val="00EB389C"/>
    <w:rsid w:val="00EC5AAA"/>
    <w:rsid w:val="00ED3A85"/>
    <w:rsid w:val="00EE0C61"/>
    <w:rsid w:val="00F11CE4"/>
    <w:rsid w:val="00F35D0B"/>
    <w:rsid w:val="00F46C54"/>
    <w:rsid w:val="00F51339"/>
    <w:rsid w:val="00F77500"/>
    <w:rsid w:val="00FA3374"/>
    <w:rsid w:val="00FC1D87"/>
    <w:rsid w:val="00FC296B"/>
    <w:rsid w:val="00FC69F1"/>
    <w:rsid w:val="00FD28B5"/>
    <w:rsid w:val="00FD6EFD"/>
    <w:rsid w:val="00FD6F1E"/>
    <w:rsid w:val="02CC624F"/>
    <w:rsid w:val="0DD16C9A"/>
    <w:rsid w:val="152824E1"/>
    <w:rsid w:val="1AED6037"/>
    <w:rsid w:val="2B574757"/>
    <w:rsid w:val="31876CEC"/>
    <w:rsid w:val="3BE53FB1"/>
    <w:rsid w:val="3D482A43"/>
    <w:rsid w:val="51D521BA"/>
    <w:rsid w:val="5AEB7A60"/>
    <w:rsid w:val="5FE73465"/>
    <w:rsid w:val="66F53A29"/>
    <w:rsid w:val="690E239A"/>
    <w:rsid w:val="783C7BF5"/>
    <w:rsid w:val="7F3D658D"/>
    <w:rsid w:val="7F884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E5CC64F"/>
  <w15:docId w15:val="{5D459847-7C66-477C-9124-0C7AE386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22"/>
    </w:rPr>
  </w:style>
  <w:style w:type="paragraph" w:styleId="1">
    <w:name w:val="heading 1"/>
    <w:basedOn w:val="a"/>
    <w:next w:val="a"/>
    <w:link w:val="10"/>
    <w:uiPriority w:val="9"/>
    <w:qFormat/>
    <w:rsid w:val="00BD427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style>
  <w:style w:type="paragraph" w:styleId="a5">
    <w:name w:val="Date"/>
    <w:basedOn w:val="a"/>
    <w:next w:val="a"/>
    <w:link w:val="a6"/>
    <w:uiPriority w:val="99"/>
    <w:semiHidden/>
    <w:unhideWhenUsed/>
    <w:pPr>
      <w:ind w:leftChars="2500" w:left="100"/>
    </w:pPr>
  </w:style>
  <w:style w:type="paragraph" w:styleId="a7">
    <w:name w:val="endnote text"/>
    <w:basedOn w:val="a"/>
    <w:link w:val="a8"/>
    <w:uiPriority w:val="99"/>
    <w:semiHidden/>
    <w:unhideWhenUsed/>
    <w:pPr>
      <w:snapToGrid w:val="0"/>
    </w:pPr>
  </w:style>
  <w:style w:type="paragraph" w:styleId="a9">
    <w:name w:val="Balloon Text"/>
    <w:basedOn w:val="a"/>
    <w:link w:val="aa"/>
    <w:uiPriority w:val="99"/>
    <w:semiHidden/>
    <w:unhideWhenUsed/>
    <w:rPr>
      <w:sz w:val="18"/>
      <w:szCs w:val="18"/>
    </w:rPr>
  </w:style>
  <w:style w:type="paragraph" w:styleId="ab">
    <w:name w:val="footer"/>
    <w:basedOn w:val="a"/>
    <w:link w:val="ac"/>
    <w:uiPriority w:val="99"/>
    <w:unhideWhenUsed/>
    <w:qFormat/>
    <w:pPr>
      <w:tabs>
        <w:tab w:val="center" w:pos="4153"/>
        <w:tab w:val="right" w:pos="8306"/>
      </w:tabs>
      <w:snapToGrid w:val="0"/>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annotation subject"/>
    <w:basedOn w:val="a3"/>
    <w:next w:val="a3"/>
    <w:link w:val="af0"/>
    <w:uiPriority w:val="99"/>
    <w:semiHidden/>
    <w:unhideWhenUsed/>
    <w:rPr>
      <w:b/>
      <w:bCs/>
    </w:rPr>
  </w:style>
  <w:style w:type="character" w:styleId="af1">
    <w:name w:val="endnote reference"/>
    <w:basedOn w:val="a0"/>
    <w:uiPriority w:val="99"/>
    <w:semiHidden/>
    <w:unhideWhenUsed/>
    <w:rPr>
      <w:vertAlign w:val="superscript"/>
    </w:rPr>
  </w:style>
  <w:style w:type="character" w:styleId="af2">
    <w:name w:val="Hyperlink"/>
    <w:basedOn w:val="a0"/>
    <w:uiPriority w:val="99"/>
    <w:unhideWhenUsed/>
    <w:rPr>
      <w:color w:val="0000FF" w:themeColor="hyperlink"/>
      <w:u w:val="single"/>
    </w:rPr>
  </w:style>
  <w:style w:type="character" w:styleId="af3">
    <w:name w:val="annotation reference"/>
    <w:basedOn w:val="a0"/>
    <w:uiPriority w:val="99"/>
    <w:semiHidden/>
    <w:unhideWhenUsed/>
    <w:rPr>
      <w:sz w:val="21"/>
      <w:szCs w:val="21"/>
    </w:rPr>
  </w:style>
  <w:style w:type="paragraph" w:styleId="af4">
    <w:name w:val="List Paragraph"/>
    <w:basedOn w:val="a"/>
    <w:uiPriority w:val="34"/>
    <w:qFormat/>
    <w:pPr>
      <w:ind w:firstLineChars="200" w:firstLine="420"/>
    </w:p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4">
    <w:name w:val="批注文字 字符"/>
    <w:basedOn w:val="a0"/>
    <w:link w:val="a3"/>
    <w:uiPriority w:val="99"/>
    <w:semiHidden/>
    <w:rPr>
      <w:sz w:val="22"/>
      <w:szCs w:val="22"/>
    </w:rPr>
  </w:style>
  <w:style w:type="character" w:customStyle="1" w:styleId="af0">
    <w:name w:val="批注主题 字符"/>
    <w:basedOn w:val="a4"/>
    <w:link w:val="af"/>
    <w:uiPriority w:val="99"/>
    <w:semiHidden/>
    <w:rPr>
      <w:b/>
      <w:bCs/>
      <w:sz w:val="22"/>
      <w:szCs w:val="22"/>
    </w:rPr>
  </w:style>
  <w:style w:type="character" w:customStyle="1" w:styleId="aa">
    <w:name w:val="批注框文本 字符"/>
    <w:basedOn w:val="a0"/>
    <w:link w:val="a9"/>
    <w:uiPriority w:val="99"/>
    <w:semiHidden/>
    <w:rPr>
      <w:sz w:val="18"/>
      <w:szCs w:val="18"/>
    </w:rPr>
  </w:style>
  <w:style w:type="character" w:customStyle="1" w:styleId="a8">
    <w:name w:val="尾注文本 字符"/>
    <w:basedOn w:val="a0"/>
    <w:link w:val="a7"/>
    <w:uiPriority w:val="99"/>
    <w:semiHidden/>
    <w:rPr>
      <w:sz w:val="22"/>
      <w:szCs w:val="22"/>
    </w:rPr>
  </w:style>
  <w:style w:type="character" w:customStyle="1" w:styleId="a6">
    <w:name w:val="日期 字符"/>
    <w:basedOn w:val="a0"/>
    <w:link w:val="a5"/>
    <w:uiPriority w:val="99"/>
    <w:semiHidden/>
    <w:rPr>
      <w:sz w:val="22"/>
      <w:szCs w:val="22"/>
    </w:rPr>
  </w:style>
  <w:style w:type="character" w:customStyle="1" w:styleId="10">
    <w:name w:val="标题 1 字符"/>
    <w:basedOn w:val="a0"/>
    <w:link w:val="1"/>
    <w:uiPriority w:val="9"/>
    <w:rsid w:val="00BD4277"/>
    <w:rPr>
      <w:rFonts w:asciiTheme="majorHAnsi" w:eastAsiaTheme="majorEastAsia" w:hAnsiTheme="majorHAnsi" w:cstheme="majorBidi"/>
      <w:b/>
      <w:bCs/>
      <w:color w:val="365F91" w:themeColor="accent1" w:themeShade="BF"/>
      <w:sz w:val="28"/>
      <w:szCs w:val="28"/>
      <w:lang w:eastAsia="en-US"/>
    </w:rPr>
  </w:style>
  <w:style w:type="table" w:styleId="af5">
    <w:name w:val="Table Grid"/>
    <w:basedOn w:val="a1"/>
    <w:uiPriority w:val="59"/>
    <w:qFormat/>
    <w:rsid w:val="00BD4277"/>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basedOn w:val="a0"/>
    <w:uiPriority w:val="99"/>
    <w:semiHidden/>
    <w:unhideWhenUsed/>
    <w:rsid w:val="00520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144958">
      <w:bodyDiv w:val="1"/>
      <w:marLeft w:val="0"/>
      <w:marRight w:val="0"/>
      <w:marTop w:val="0"/>
      <w:marBottom w:val="0"/>
      <w:divBdr>
        <w:top w:val="none" w:sz="0" w:space="0" w:color="auto"/>
        <w:left w:val="none" w:sz="0" w:space="0" w:color="auto"/>
        <w:bottom w:val="none" w:sz="0" w:space="0" w:color="auto"/>
        <w:right w:val="none" w:sz="0" w:space="0" w:color="auto"/>
      </w:divBdr>
    </w:div>
    <w:div w:id="438335668">
      <w:bodyDiv w:val="1"/>
      <w:marLeft w:val="0"/>
      <w:marRight w:val="0"/>
      <w:marTop w:val="0"/>
      <w:marBottom w:val="0"/>
      <w:divBdr>
        <w:top w:val="none" w:sz="0" w:space="0" w:color="auto"/>
        <w:left w:val="none" w:sz="0" w:space="0" w:color="auto"/>
        <w:bottom w:val="none" w:sz="0" w:space="0" w:color="auto"/>
        <w:right w:val="none" w:sz="0" w:space="0" w:color="auto"/>
      </w:divBdr>
    </w:div>
    <w:div w:id="537544067">
      <w:bodyDiv w:val="1"/>
      <w:marLeft w:val="0"/>
      <w:marRight w:val="0"/>
      <w:marTop w:val="0"/>
      <w:marBottom w:val="0"/>
      <w:divBdr>
        <w:top w:val="none" w:sz="0" w:space="0" w:color="auto"/>
        <w:left w:val="none" w:sz="0" w:space="0" w:color="auto"/>
        <w:bottom w:val="none" w:sz="0" w:space="0" w:color="auto"/>
        <w:right w:val="none" w:sz="0" w:space="0" w:color="auto"/>
      </w:divBdr>
    </w:div>
    <w:div w:id="834031496">
      <w:bodyDiv w:val="1"/>
      <w:marLeft w:val="0"/>
      <w:marRight w:val="0"/>
      <w:marTop w:val="0"/>
      <w:marBottom w:val="0"/>
      <w:divBdr>
        <w:top w:val="none" w:sz="0" w:space="0" w:color="auto"/>
        <w:left w:val="none" w:sz="0" w:space="0" w:color="auto"/>
        <w:bottom w:val="none" w:sz="0" w:space="0" w:color="auto"/>
        <w:right w:val="none" w:sz="0" w:space="0" w:color="auto"/>
      </w:divBdr>
    </w:div>
    <w:div w:id="869875337">
      <w:bodyDiv w:val="1"/>
      <w:marLeft w:val="0"/>
      <w:marRight w:val="0"/>
      <w:marTop w:val="0"/>
      <w:marBottom w:val="0"/>
      <w:divBdr>
        <w:top w:val="none" w:sz="0" w:space="0" w:color="auto"/>
        <w:left w:val="none" w:sz="0" w:space="0" w:color="auto"/>
        <w:bottom w:val="none" w:sz="0" w:space="0" w:color="auto"/>
        <w:right w:val="none" w:sz="0" w:space="0" w:color="auto"/>
      </w:divBdr>
    </w:div>
    <w:div w:id="894777928">
      <w:bodyDiv w:val="1"/>
      <w:marLeft w:val="0"/>
      <w:marRight w:val="0"/>
      <w:marTop w:val="0"/>
      <w:marBottom w:val="0"/>
      <w:divBdr>
        <w:top w:val="none" w:sz="0" w:space="0" w:color="auto"/>
        <w:left w:val="none" w:sz="0" w:space="0" w:color="auto"/>
        <w:bottom w:val="none" w:sz="0" w:space="0" w:color="auto"/>
        <w:right w:val="none" w:sz="0" w:space="0" w:color="auto"/>
      </w:divBdr>
    </w:div>
    <w:div w:id="1858036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E61C3D-AD76-4067-9771-E5BD0D70C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685</Words>
  <Characters>3906</Characters>
  <Application>Microsoft Office Word</Application>
  <DocSecurity>0</DocSecurity>
  <Lines>32</Lines>
  <Paragraphs>9</Paragraphs>
  <ScaleCrop>false</ScaleCrop>
  <Company>Micsocoft</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筱涵 胡</cp:lastModifiedBy>
  <cp:revision>2</cp:revision>
  <cp:lastPrinted>2025-08-14T08:04:00Z</cp:lastPrinted>
  <dcterms:created xsi:type="dcterms:W3CDTF">2025-08-14T08:31:00Z</dcterms:created>
  <dcterms:modified xsi:type="dcterms:W3CDTF">2025-08-14T08:31:00Z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3AC0E97A0160DA2015C22168D349918A_42</vt:lpwstr>
  </property>
</Properties>
</file>